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72ADF78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6243C1DB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E7A8E0F" wp14:editId="7EA8BBCC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4CB" w14:textId="77777777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20631B6" w14:textId="77777777" w:rsidR="00AE41A6" w:rsidRPr="008148A3" w:rsidRDefault="00AE41A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Назва кафедри</w:t>
            </w:r>
            <w:r w:rsidR="006E65B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, що забезпечує викладання</w:t>
            </w:r>
          </w:p>
        </w:tc>
      </w:tr>
      <w:tr w:rsidR="007E3190" w:rsidRPr="008148A3" w14:paraId="0FAC50D9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6FD9272" w14:textId="3398F825" w:rsidR="007E3190" w:rsidRPr="00AB05AB" w:rsidRDefault="00AA4D74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Комерційні спори з іноземним елементом</w:t>
            </w:r>
          </w:p>
          <w:p w14:paraId="18E7CCE6" w14:textId="77777777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60A65EA2" w14:textId="77777777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45DCB991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8969D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57ADE951" w14:textId="4C85F360" w:rsidR="004A6336" w:rsidRPr="00A2798C" w:rsidRDefault="00EC0CC5" w:rsidP="00EC0CC5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Перший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бакалаврсь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кий)</w:t>
            </w:r>
          </w:p>
        </w:tc>
      </w:tr>
      <w:tr w:rsidR="004A6336" w:rsidRPr="005251A5" w14:paraId="0202F5FE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C7D428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7022CC42" w14:textId="4DF11B12" w:rsidR="004A6336" w:rsidRPr="00A2798C" w:rsidRDefault="0056135D" w:rsidP="001E65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 Право</w:t>
            </w:r>
          </w:p>
        </w:tc>
      </w:tr>
      <w:tr w:rsidR="004A6336" w:rsidRPr="00C301EF" w14:paraId="340611D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A3C80C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143E45BD" w14:textId="77777777" w:rsidR="004A6336" w:rsidRPr="00A2798C" w:rsidRDefault="0056135D" w:rsidP="0056135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081</w:t>
            </w:r>
            <w:r w:rsidR="007E3190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Право</w:t>
            </w:r>
          </w:p>
        </w:tc>
      </w:tr>
      <w:tr w:rsidR="004A6336" w:rsidRPr="005251A5" w14:paraId="680DC8E3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E65491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0A47301F" w14:textId="77777777" w:rsidR="004A6336" w:rsidRPr="00A2798C" w:rsidRDefault="0056135D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Право</w:t>
            </w:r>
          </w:p>
        </w:tc>
      </w:tr>
      <w:tr w:rsidR="004A6336" w:rsidRPr="005251A5" w14:paraId="79A56FC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E08C12" w14:textId="77777777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086A860E" w14:textId="77777777" w:rsidR="004A6336" w:rsidRPr="00A2798C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</w:p>
        </w:tc>
      </w:tr>
      <w:tr w:rsidR="00894491" w:rsidRPr="005251A5" w14:paraId="67F1C2F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BDCA9B" w14:textId="77777777" w:rsidR="00894491" w:rsidRPr="005251A5" w:rsidRDefault="0089449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3E1287D5" w14:textId="51414B0A" w:rsidR="00894491" w:rsidRPr="00A2798C" w:rsidRDefault="00EC0CC5" w:rsidP="00B040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Очна (денна) </w:t>
            </w:r>
            <w:r w:rsidR="00B0400B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/ заочна</w:t>
            </w:r>
          </w:p>
        </w:tc>
      </w:tr>
      <w:tr w:rsidR="007244E1" w:rsidRPr="005251A5" w14:paraId="3EF698CE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D0FCE8" w14:textId="77777777" w:rsidR="007244E1" w:rsidRPr="005251A5" w:rsidRDefault="007244E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C832A32" w14:textId="14E73253" w:rsidR="007244E1" w:rsidRPr="00A2798C" w:rsidRDefault="00742BB3" w:rsidP="00742BB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І</w:t>
            </w:r>
            <w:r w:rsidR="00EC0CC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V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7F5D025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50EC1B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5C7E9668" w14:textId="77777777" w:rsidR="004A6336" w:rsidRPr="00A2798C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7244E1" w:rsidRPr="005251A5" w14:paraId="4C44BFBE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30FA9D" w14:textId="77777777" w:rsidR="007244E1" w:rsidRPr="005251A5" w:rsidRDefault="007244E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280B1581" w14:textId="6F2AEC77" w:rsidR="007244E1" w:rsidRPr="004656E3" w:rsidRDefault="004656E3" w:rsidP="0093137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</w:p>
        </w:tc>
      </w:tr>
      <w:tr w:rsidR="007E3190" w:rsidRPr="005251A5" w14:paraId="78A72EEC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7CB99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FE96A7E" w14:textId="091283BE" w:rsidR="004A6336" w:rsidRPr="00A2798C" w:rsidRDefault="0053496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120 годин</w:t>
            </w:r>
          </w:p>
        </w:tc>
      </w:tr>
      <w:tr w:rsidR="004A6336" w:rsidRPr="005251A5" w14:paraId="77936F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C01B0E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24DAC3BA" w14:textId="30B7B139" w:rsidR="004A6336" w:rsidRPr="00A2798C" w:rsidRDefault="00306C33" w:rsidP="00742BB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462A0CFD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2FB654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3772B22C" w14:textId="16BAEA6E" w:rsidR="004A6336" w:rsidRPr="005251A5" w:rsidRDefault="0056135D" w:rsidP="001E65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Лекції</w:t>
            </w:r>
            <w:r w:rsidR="00C03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C03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к.ю.н. старший викладач Перестюк Наталія Миколаївна,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AB05A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AB05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12" w:history="1">
              <w:r w:rsidRPr="00CD6F59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natalia</w:t>
              </w:r>
              <w:r w:rsidRPr="00AB05AB">
                <w:rPr>
                  <w:rStyle w:val="a5"/>
                  <w:rFonts w:asciiTheme="minorHAnsi" w:hAnsiTheme="minorHAnsi"/>
                  <w:sz w:val="22"/>
                  <w:szCs w:val="22"/>
                </w:rPr>
                <w:t>@</w:t>
              </w:r>
              <w:r w:rsidRPr="00CD6F59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perestyuk</w:t>
              </w:r>
              <w:r w:rsidRPr="00AB05AB">
                <w:rPr>
                  <w:rStyle w:val="a5"/>
                  <w:rFonts w:asciiTheme="minorHAnsi" w:hAnsiTheme="minorHAnsi"/>
                  <w:sz w:val="22"/>
                  <w:szCs w:val="22"/>
                </w:rPr>
                <w:t>.</w:t>
              </w:r>
              <w:r w:rsidRPr="00CD6F59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4A6336" w:rsidRPr="005251A5" w14:paraId="609F9692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4118EE" w14:textId="7777777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1A664631" w14:textId="0A4F6B08" w:rsidR="007E3190" w:rsidRPr="00F20149" w:rsidRDefault="006F5C29" w:rsidP="004656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20149">
              <w:rPr>
                <w:rFonts w:asciiTheme="minorHAnsi" w:hAnsiTheme="minorHAnsi"/>
                <w:sz w:val="22"/>
                <w:szCs w:val="22"/>
              </w:rPr>
              <w:t>Посилання на дистанційний ресурс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20149">
              <w:rPr>
                <w:rFonts w:asciiTheme="minorHAnsi" w:hAnsiTheme="minorHAnsi"/>
                <w:sz w:val="22"/>
                <w:szCs w:val="22"/>
              </w:rPr>
              <w:t>Moodle</w:t>
            </w:r>
            <w:r w:rsidR="00EA09E7" w:rsidRPr="00F20149">
              <w:rPr>
                <w:rFonts w:asciiTheme="minorHAnsi" w:hAnsiTheme="minorHAnsi"/>
                <w:sz w:val="22"/>
                <w:szCs w:val="22"/>
              </w:rPr>
              <w:t>, коротка назва курсу:</w:t>
            </w:r>
            <w:r w:rsidR="00F20149" w:rsidRPr="00AB05A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4656E3" w:rsidRPr="00AB05AB">
              <w:rPr>
                <w:rFonts w:asciiTheme="minorHAnsi" w:hAnsiTheme="minorHAnsi"/>
                <w:sz w:val="22"/>
                <w:szCs w:val="22"/>
                <w:lang w:val="ru-RU"/>
              </w:rPr>
              <w:t>_____</w:t>
            </w:r>
            <w:r w:rsidR="005A1359" w:rsidRPr="00AB05A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</w:t>
            </w:r>
            <w:r w:rsidR="005A1359">
              <w:rPr>
                <w:rFonts w:asciiTheme="minorHAnsi" w:hAnsiTheme="minorHAnsi"/>
                <w:sz w:val="22"/>
                <w:szCs w:val="22"/>
              </w:rPr>
              <w:t>для заочної форми навчання</w:t>
            </w:r>
            <w:r w:rsidR="007244E1" w:rsidRPr="00F20149">
              <w:rPr>
                <w:rFonts w:asciiTheme="minorHAnsi" w:hAnsiTheme="minorHAnsi"/>
                <w:sz w:val="22"/>
                <w:szCs w:val="22"/>
              </w:rPr>
              <w:t>)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 та </w:t>
            </w:r>
            <w:r w:rsidR="004656E3">
              <w:rPr>
                <w:rFonts w:asciiTheme="minorHAnsi" w:hAnsiTheme="minorHAnsi"/>
                <w:sz w:val="22"/>
                <w:szCs w:val="22"/>
              </w:rPr>
              <w:t>_____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 (для стаціонарної форми навчання)</w:t>
            </w:r>
          </w:p>
        </w:tc>
      </w:tr>
    </w:tbl>
    <w:p w14:paraId="656057E5" w14:textId="77777777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3C18EBDF" w14:textId="77777777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4A9221A4" w14:textId="090E34BD" w:rsidR="00B01BF0" w:rsidRDefault="004656E3" w:rsidP="00B01BF0">
      <w:pPr>
        <w:spacing w:after="120" w:line="240" w:lineRule="auto"/>
        <w:jc w:val="both"/>
        <w:rPr>
          <w:sz w:val="24"/>
          <w:szCs w:val="24"/>
        </w:rPr>
      </w:pPr>
      <w:r w:rsidRPr="004656E3">
        <w:rPr>
          <w:sz w:val="24"/>
          <w:szCs w:val="24"/>
        </w:rPr>
        <w:t>Метою навчальної дисципліни «</w:t>
      </w:r>
      <w:r w:rsidR="00305307">
        <w:rPr>
          <w:sz w:val="24"/>
          <w:szCs w:val="24"/>
        </w:rPr>
        <w:t>Комерційні спори з іноземним елементом</w:t>
      </w:r>
      <w:r w:rsidRPr="004656E3">
        <w:rPr>
          <w:sz w:val="24"/>
          <w:szCs w:val="24"/>
        </w:rPr>
        <w:t>» є формування у студентів системних наукових знань з теорії цивільно-процесуального права та практичних навичок пов’язаних із підготовкою і веденням судового процесу з розгляду приватноправових спорів, в яких присутній іноземний елемент або у випадках, коли справи підпадають під юрисдикцію двох або більше держав.</w:t>
      </w:r>
    </w:p>
    <w:p w14:paraId="5ED6B242" w14:textId="236ECBBD" w:rsidR="004656E3" w:rsidRDefault="004656E3" w:rsidP="004656E3">
      <w:pPr>
        <w:spacing w:after="120" w:line="240" w:lineRule="auto"/>
        <w:jc w:val="both"/>
        <w:rPr>
          <w:sz w:val="24"/>
          <w:szCs w:val="24"/>
        </w:rPr>
      </w:pPr>
      <w:r w:rsidRPr="004656E3">
        <w:rPr>
          <w:sz w:val="24"/>
          <w:szCs w:val="24"/>
        </w:rPr>
        <w:t>Основні цілі та завдання дисципліни: надати студентам знання про</w:t>
      </w:r>
      <w:r>
        <w:rPr>
          <w:sz w:val="24"/>
          <w:szCs w:val="24"/>
        </w:rPr>
        <w:t>:</w:t>
      </w:r>
      <w:r w:rsidRPr="004656E3">
        <w:rPr>
          <w:sz w:val="24"/>
          <w:szCs w:val="24"/>
        </w:rPr>
        <w:t xml:space="preserve"> теоретичні положення </w:t>
      </w:r>
      <w:r>
        <w:rPr>
          <w:sz w:val="24"/>
          <w:szCs w:val="24"/>
        </w:rPr>
        <w:t xml:space="preserve">вирішення комерційних спорів з іноземним елементом </w:t>
      </w:r>
      <w:r w:rsidRPr="004656E3">
        <w:rPr>
          <w:sz w:val="24"/>
          <w:szCs w:val="24"/>
        </w:rPr>
        <w:t xml:space="preserve">(поняття, зміст, джерела, співвідношення </w:t>
      </w:r>
      <w:r>
        <w:rPr>
          <w:sz w:val="24"/>
          <w:szCs w:val="24"/>
        </w:rPr>
        <w:t xml:space="preserve">курсу </w:t>
      </w:r>
      <w:r w:rsidRPr="004656E3">
        <w:rPr>
          <w:sz w:val="24"/>
          <w:szCs w:val="24"/>
        </w:rPr>
        <w:t>із міжнародним приватним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правом</w:t>
      </w:r>
      <w:r>
        <w:rPr>
          <w:sz w:val="24"/>
          <w:szCs w:val="24"/>
        </w:rPr>
        <w:t xml:space="preserve"> та міжнародним комерційним арбітражем</w:t>
      </w:r>
      <w:r w:rsidRPr="004656E3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правовий статус іноземних осіб, їхніх представників, перекладача та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експерта з іноземного права у процесі</w:t>
      </w:r>
      <w:r>
        <w:rPr>
          <w:sz w:val="24"/>
          <w:szCs w:val="24"/>
        </w:rPr>
        <w:t xml:space="preserve"> судового вирішення комерційного спору з іноземним елементом</w:t>
      </w:r>
      <w:r w:rsidRPr="004656E3">
        <w:rPr>
          <w:sz w:val="24"/>
          <w:szCs w:val="24"/>
        </w:rPr>
        <w:t xml:space="preserve">; інститут міжнародної підсудності </w:t>
      </w:r>
      <w:r>
        <w:rPr>
          <w:sz w:val="24"/>
          <w:szCs w:val="24"/>
        </w:rPr>
        <w:t>комерційного спору з іноземним елементом</w:t>
      </w:r>
      <w:r w:rsidRPr="004656E3">
        <w:rPr>
          <w:sz w:val="24"/>
          <w:szCs w:val="24"/>
        </w:rPr>
        <w:t>; правову допомогу в рамках міжнародного цивільного процесу; визнання і виконання іноземних судових рішень,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а також сформувати вміння і практичні навички з: системного аналізу норм міжнародного цивільного процесуального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права; застосовування на практиці внутрішніх і міжнародних джерелміжнародного ц</w:t>
      </w:r>
      <w:r>
        <w:rPr>
          <w:sz w:val="24"/>
          <w:szCs w:val="24"/>
        </w:rPr>
        <w:t xml:space="preserve">ивільного процесуального права; </w:t>
      </w:r>
      <w:r w:rsidRPr="004656E3">
        <w:rPr>
          <w:sz w:val="24"/>
          <w:szCs w:val="24"/>
        </w:rPr>
        <w:t xml:space="preserve">здійснення багатоаспектного аналізу </w:t>
      </w:r>
      <w:r>
        <w:rPr>
          <w:sz w:val="24"/>
          <w:szCs w:val="24"/>
        </w:rPr>
        <w:t>комерційних</w:t>
      </w:r>
      <w:r w:rsidRPr="004656E3">
        <w:rPr>
          <w:sz w:val="24"/>
          <w:szCs w:val="24"/>
        </w:rPr>
        <w:t xml:space="preserve"> спорів з «іноземним»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елементом – з врахуванням проблеми вибору місця судового провадження,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процесуально-правового, колізійного і матеріально-правового врегулювання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спірних правовідносин; ведення справи у національних судах держави, представництво інтересів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клієнта в судах; проведення наукового дослідження з тематики міжнародного цивільного</w:t>
      </w:r>
      <w:r>
        <w:rPr>
          <w:sz w:val="24"/>
          <w:szCs w:val="24"/>
        </w:rPr>
        <w:t xml:space="preserve"> </w:t>
      </w:r>
      <w:r w:rsidRPr="004656E3">
        <w:rPr>
          <w:sz w:val="24"/>
          <w:szCs w:val="24"/>
        </w:rPr>
        <w:t>процесу.</w:t>
      </w:r>
    </w:p>
    <w:p w14:paraId="44F7FFCD" w14:textId="5937EAD6" w:rsidR="00B73A1F" w:rsidRPr="004656E3" w:rsidRDefault="00305307" w:rsidP="00B01BF0">
      <w:pPr>
        <w:spacing w:after="120" w:line="240" w:lineRule="auto"/>
        <w:jc w:val="both"/>
        <w:rPr>
          <w:rFonts w:eastAsia="Batang"/>
          <w:color w:val="4BACC6" w:themeColor="accent5"/>
          <w:sz w:val="24"/>
          <w:szCs w:val="24"/>
        </w:rPr>
      </w:pPr>
      <w:r>
        <w:rPr>
          <w:sz w:val="24"/>
          <w:szCs w:val="24"/>
        </w:rPr>
        <w:t xml:space="preserve">Курс </w:t>
      </w:r>
      <w:r w:rsidRPr="004656E3">
        <w:rPr>
          <w:sz w:val="24"/>
          <w:szCs w:val="24"/>
        </w:rPr>
        <w:t>«</w:t>
      </w:r>
      <w:r>
        <w:rPr>
          <w:sz w:val="24"/>
          <w:szCs w:val="24"/>
        </w:rPr>
        <w:t>Комерційні спори з іноземним елементом</w:t>
      </w:r>
      <w:r w:rsidRPr="004656E3">
        <w:rPr>
          <w:sz w:val="24"/>
          <w:szCs w:val="24"/>
        </w:rPr>
        <w:t>»</w:t>
      </w:r>
      <w:r w:rsidR="00B73A1F" w:rsidRPr="004656E3">
        <w:rPr>
          <w:rFonts w:eastAsia="Batang"/>
          <w:color w:val="4BACC6" w:themeColor="accent5"/>
          <w:sz w:val="24"/>
          <w:szCs w:val="24"/>
        </w:rPr>
        <w:t xml:space="preserve"> </w:t>
      </w:r>
      <w:r w:rsidRPr="00CF3B51">
        <w:rPr>
          <w:rFonts w:eastAsia="Batang"/>
          <w:sz w:val="24"/>
          <w:szCs w:val="24"/>
        </w:rPr>
        <w:t>представляє собою поглиблене вивчення курс</w:t>
      </w:r>
      <w:r w:rsidR="00742BB3">
        <w:rPr>
          <w:rFonts w:eastAsia="Batang"/>
          <w:sz w:val="24"/>
          <w:szCs w:val="24"/>
        </w:rPr>
        <w:t>ів “Міжнародне приватне право”,</w:t>
      </w:r>
      <w:r w:rsidRPr="00CF3B51">
        <w:rPr>
          <w:rFonts w:eastAsia="Batang"/>
          <w:sz w:val="24"/>
          <w:szCs w:val="24"/>
        </w:rPr>
        <w:t xml:space="preserve"> “Господарське процесуальне право”</w:t>
      </w:r>
      <w:r w:rsidR="00742BB3">
        <w:rPr>
          <w:rFonts w:eastAsia="Batang"/>
          <w:sz w:val="24"/>
          <w:szCs w:val="24"/>
        </w:rPr>
        <w:t xml:space="preserve"> та “Основи права Європейського Союзу”</w:t>
      </w:r>
      <w:r w:rsidRPr="00CF3B51">
        <w:rPr>
          <w:rFonts w:eastAsia="Batang"/>
          <w:sz w:val="24"/>
          <w:szCs w:val="24"/>
        </w:rPr>
        <w:t xml:space="preserve">. Програму даного курсу спрямовано, зокрема, на: поглиблення таких загальних компетентностей, як здатність вчитися і оволодівати сучасними знаннями (ЗК7), </w:t>
      </w:r>
      <w:r w:rsidRPr="00CF3B51">
        <w:rPr>
          <w:rFonts w:eastAsia="Batang"/>
          <w:sz w:val="24"/>
          <w:szCs w:val="24"/>
        </w:rPr>
        <w:lastRenderedPageBreak/>
        <w:t>цінування та повага до різноманітності та мультикультурності (ЗК14); таких функціональних компетенцій, як: здатність розуміти особливості реалізації та застосування норм матеріального і процесуального права (ФК8), а також Здатність здійснювати юридичне супроводження діяльності суб’єктів господарювання, розуміючи особливості правовідносин у різних сферах господарювання (ФК19). В частині програмних результатів навчання курс спрямовано на вміння: формулювати власні обґрунтовані судження на основі аналізу відомої проблеми (4), давати короткий висновок щодо окремих фактичних обставин (даних) з достатньою обґрунтованістю (5), оцінювати недоліки і переваги аргументів, аналізуючи відому проблему (6), вільно спілкуватися державною та іноземною мовами як усно, так і письмово, правильно вживаючи правничу термінологію (10), застосовувати набуті знання у різних правових ситуаціях, виокремлювати юридично значущі факти і формувати обґрунтовані правові висновки (25) та надавати консультації щодо можливих способів захисту прав та інтересів клієнтів у різних правових ситуаціях (27).</w:t>
      </w:r>
      <w:r w:rsidR="00B73A1F" w:rsidRPr="004656E3">
        <w:rPr>
          <w:rFonts w:eastAsia="Batang"/>
          <w:color w:val="4BACC6" w:themeColor="accent5"/>
          <w:sz w:val="24"/>
          <w:szCs w:val="24"/>
        </w:rPr>
        <w:t xml:space="preserve"> </w:t>
      </w:r>
    </w:p>
    <w:p w14:paraId="405AD3F1" w14:textId="77777777" w:rsidR="004A6336" w:rsidRPr="004472C0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C8C89B0" w14:textId="743CE2D3" w:rsidR="006940DA" w:rsidRPr="006940DA" w:rsidRDefault="006940DA" w:rsidP="004A6336">
      <w:pPr>
        <w:spacing w:after="120" w:line="240" w:lineRule="auto"/>
        <w:jc w:val="both"/>
        <w:rPr>
          <w:rFonts w:eastAsia="Batang"/>
          <w:sz w:val="24"/>
          <w:szCs w:val="24"/>
        </w:rPr>
      </w:pPr>
      <w:r w:rsidRPr="006940DA">
        <w:rPr>
          <w:rFonts w:eastAsia="Batang"/>
          <w:sz w:val="24"/>
          <w:szCs w:val="24"/>
        </w:rPr>
        <w:t>Базою для вивчення навчальної дисципліни є знання, отримані студентами після вивчення основних дисциплін бакалаврату, зокрема: “Господарське право”, “Цивільне право”, “Основи права Європейського Союзу”, “Міжнародне публічне право”, “Міжнародне приватне право”, “</w:t>
      </w:r>
      <w:r w:rsidR="004656E3">
        <w:rPr>
          <w:rFonts w:eastAsia="Batang"/>
          <w:sz w:val="24"/>
          <w:szCs w:val="24"/>
        </w:rPr>
        <w:t>Цивільне процесуальне право</w:t>
      </w:r>
      <w:r w:rsidRPr="006940DA">
        <w:rPr>
          <w:rFonts w:eastAsia="Batang"/>
          <w:sz w:val="24"/>
          <w:szCs w:val="24"/>
        </w:rPr>
        <w:t>” та “</w:t>
      </w:r>
      <w:r w:rsidR="004656E3">
        <w:rPr>
          <w:rFonts w:eastAsia="Batang"/>
          <w:sz w:val="24"/>
          <w:szCs w:val="24"/>
        </w:rPr>
        <w:t>Господарське процесуальне право</w:t>
      </w:r>
      <w:r w:rsidRPr="006940DA">
        <w:rPr>
          <w:rFonts w:eastAsia="Batang"/>
          <w:sz w:val="24"/>
          <w:szCs w:val="24"/>
        </w:rPr>
        <w:t>”. Для належного освоєння матеріалу та набуття ря</w:t>
      </w:r>
      <w:r w:rsidR="004A615C">
        <w:rPr>
          <w:rFonts w:eastAsia="Batang"/>
          <w:sz w:val="24"/>
          <w:szCs w:val="24"/>
        </w:rPr>
        <w:t>д</w:t>
      </w:r>
      <w:r w:rsidRPr="006940DA">
        <w:rPr>
          <w:rFonts w:eastAsia="Batang"/>
          <w:sz w:val="24"/>
          <w:szCs w:val="24"/>
        </w:rPr>
        <w:t xml:space="preserve">у </w:t>
      </w:r>
      <w:r w:rsidR="004A615C" w:rsidRPr="006940DA">
        <w:rPr>
          <w:rFonts w:eastAsia="Batang"/>
          <w:sz w:val="24"/>
          <w:szCs w:val="24"/>
        </w:rPr>
        <w:t>навичок</w:t>
      </w:r>
      <w:r w:rsidR="004A615C">
        <w:rPr>
          <w:rFonts w:eastAsia="Batang"/>
          <w:sz w:val="24"/>
          <w:szCs w:val="24"/>
        </w:rPr>
        <w:t>,</w:t>
      </w:r>
      <w:r w:rsidR="004A615C" w:rsidRPr="006940DA">
        <w:rPr>
          <w:rFonts w:eastAsia="Batang"/>
          <w:sz w:val="24"/>
          <w:szCs w:val="24"/>
        </w:rPr>
        <w:t xml:space="preserve"> </w:t>
      </w:r>
      <w:r w:rsidRPr="006940DA">
        <w:rPr>
          <w:rFonts w:eastAsia="Batang"/>
          <w:sz w:val="24"/>
          <w:szCs w:val="24"/>
        </w:rPr>
        <w:t>корисних</w:t>
      </w:r>
      <w:r w:rsidR="004A615C">
        <w:rPr>
          <w:rFonts w:eastAsia="Batang"/>
          <w:sz w:val="24"/>
          <w:szCs w:val="24"/>
        </w:rPr>
        <w:t xml:space="preserve"> для подальшої практичної діяльності фахівця, бажано, щоб студент володів</w:t>
      </w:r>
      <w:r w:rsidRPr="006940DA">
        <w:rPr>
          <w:rFonts w:eastAsia="Batang"/>
          <w:sz w:val="24"/>
          <w:szCs w:val="24"/>
        </w:rPr>
        <w:t xml:space="preserve"> </w:t>
      </w:r>
      <w:r w:rsidR="004A6336" w:rsidRPr="006940DA">
        <w:rPr>
          <w:rFonts w:eastAsia="Batang"/>
          <w:sz w:val="24"/>
          <w:szCs w:val="24"/>
        </w:rPr>
        <w:t>англійською</w:t>
      </w:r>
      <w:r w:rsidRPr="006940DA">
        <w:rPr>
          <w:rFonts w:eastAsia="Batang"/>
          <w:sz w:val="24"/>
          <w:szCs w:val="24"/>
        </w:rPr>
        <w:t xml:space="preserve"> </w:t>
      </w:r>
      <w:r w:rsidR="004A615C">
        <w:rPr>
          <w:rFonts w:eastAsia="Batang"/>
          <w:sz w:val="24"/>
          <w:szCs w:val="24"/>
        </w:rPr>
        <w:t>мовою</w:t>
      </w:r>
      <w:r w:rsidRPr="006940DA">
        <w:rPr>
          <w:rFonts w:eastAsia="Batang"/>
          <w:sz w:val="24"/>
          <w:szCs w:val="24"/>
        </w:rPr>
        <w:t xml:space="preserve"> на рівні</w:t>
      </w:r>
      <w:r w:rsidR="00EC4C41">
        <w:rPr>
          <w:rFonts w:eastAsia="Batang"/>
          <w:sz w:val="24"/>
          <w:szCs w:val="24"/>
        </w:rPr>
        <w:t xml:space="preserve"> А2 або вище</w:t>
      </w:r>
      <w:r w:rsidR="004A6336" w:rsidRPr="006940DA">
        <w:rPr>
          <w:rFonts w:eastAsia="Batang"/>
          <w:sz w:val="24"/>
          <w:szCs w:val="24"/>
        </w:rPr>
        <w:t>).</w:t>
      </w:r>
      <w:r w:rsidR="005251A5" w:rsidRPr="006940DA">
        <w:rPr>
          <w:rFonts w:eastAsia="Batang"/>
          <w:sz w:val="24"/>
          <w:szCs w:val="24"/>
        </w:rPr>
        <w:t xml:space="preserve"> </w:t>
      </w:r>
    </w:p>
    <w:p w14:paraId="7EF8752D" w14:textId="1CB44253" w:rsidR="00B010B6" w:rsidRPr="00B010B6" w:rsidRDefault="006940DA" w:rsidP="004A6336">
      <w:pPr>
        <w:spacing w:after="120" w:line="240" w:lineRule="auto"/>
        <w:jc w:val="both"/>
        <w:rPr>
          <w:rFonts w:eastAsia="Batang"/>
          <w:sz w:val="24"/>
          <w:szCs w:val="24"/>
        </w:rPr>
      </w:pPr>
      <w:r w:rsidRPr="006940DA">
        <w:rPr>
          <w:rFonts w:eastAsia="Batang"/>
          <w:sz w:val="24"/>
          <w:szCs w:val="24"/>
        </w:rPr>
        <w:t>Д</w:t>
      </w:r>
      <w:r w:rsidR="004A6336" w:rsidRPr="006940DA">
        <w:rPr>
          <w:rFonts w:eastAsia="Batang"/>
          <w:sz w:val="24"/>
          <w:szCs w:val="24"/>
        </w:rPr>
        <w:t>исциплін</w:t>
      </w:r>
      <w:r w:rsidR="005251A5" w:rsidRPr="006940DA">
        <w:rPr>
          <w:rFonts w:eastAsia="Batang"/>
          <w:sz w:val="24"/>
          <w:szCs w:val="24"/>
        </w:rPr>
        <w:t xml:space="preserve"> які базуються на </w:t>
      </w:r>
      <w:r w:rsidR="004A6336" w:rsidRPr="006940DA">
        <w:rPr>
          <w:rFonts w:eastAsia="Batang"/>
          <w:sz w:val="24"/>
          <w:szCs w:val="24"/>
        </w:rPr>
        <w:t>результат</w:t>
      </w:r>
      <w:r w:rsidR="005251A5" w:rsidRPr="006940DA">
        <w:rPr>
          <w:rFonts w:eastAsia="Batang"/>
          <w:sz w:val="24"/>
          <w:szCs w:val="24"/>
        </w:rPr>
        <w:t>ах</w:t>
      </w:r>
      <w:r w:rsidR="004A6336" w:rsidRPr="006940DA">
        <w:rPr>
          <w:rFonts w:eastAsia="Batang"/>
          <w:sz w:val="24"/>
          <w:szCs w:val="24"/>
        </w:rPr>
        <w:t xml:space="preserve"> навчання</w:t>
      </w:r>
      <w:r w:rsidR="005251A5" w:rsidRPr="006940DA">
        <w:rPr>
          <w:rFonts w:eastAsia="Batang"/>
          <w:sz w:val="24"/>
          <w:szCs w:val="24"/>
        </w:rPr>
        <w:t xml:space="preserve"> з </w:t>
      </w:r>
      <w:r w:rsidR="004A615C">
        <w:rPr>
          <w:rFonts w:eastAsia="Batang"/>
          <w:sz w:val="24"/>
          <w:szCs w:val="24"/>
        </w:rPr>
        <w:t>цього</w:t>
      </w:r>
      <w:r w:rsidR="004A6336" w:rsidRPr="006940DA">
        <w:rPr>
          <w:rFonts w:eastAsia="Batang"/>
          <w:sz w:val="24"/>
          <w:szCs w:val="24"/>
        </w:rPr>
        <w:t xml:space="preserve"> </w:t>
      </w:r>
      <w:r w:rsidR="004A615C">
        <w:rPr>
          <w:rFonts w:eastAsia="Batang"/>
          <w:sz w:val="24"/>
          <w:szCs w:val="24"/>
        </w:rPr>
        <w:t>курсу</w:t>
      </w:r>
      <w:r w:rsidRPr="006940DA">
        <w:rPr>
          <w:rFonts w:eastAsia="Batang"/>
          <w:sz w:val="24"/>
          <w:szCs w:val="24"/>
        </w:rPr>
        <w:t>, не передбачено</w:t>
      </w:r>
      <w:r w:rsidR="004A6336" w:rsidRPr="006940DA">
        <w:rPr>
          <w:rFonts w:eastAsia="Batang"/>
          <w:sz w:val="24"/>
          <w:szCs w:val="24"/>
        </w:rPr>
        <w:t>.</w:t>
      </w:r>
    </w:p>
    <w:p w14:paraId="40840C92" w14:textId="77777777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27D0B039" w14:textId="5B6C79DC" w:rsidR="0093137E" w:rsidRPr="003972D5" w:rsidRDefault="0093137E" w:rsidP="00E94613">
      <w:pPr>
        <w:rPr>
          <w:sz w:val="24"/>
          <w:szCs w:val="24"/>
        </w:rPr>
      </w:pPr>
      <w:r w:rsidRPr="003972D5">
        <w:rPr>
          <w:sz w:val="24"/>
          <w:szCs w:val="24"/>
        </w:rPr>
        <w:t xml:space="preserve">Тема 1. </w:t>
      </w:r>
      <w:r w:rsidR="00E94613" w:rsidRPr="00E94613">
        <w:rPr>
          <w:sz w:val="24"/>
          <w:szCs w:val="24"/>
        </w:rPr>
        <w:t>Вступ до курсу</w:t>
      </w:r>
      <w:r w:rsidR="00E94613">
        <w:rPr>
          <w:sz w:val="24"/>
          <w:szCs w:val="24"/>
        </w:rPr>
        <w:t xml:space="preserve"> Комерційні спори з іноземним елементом. </w:t>
      </w:r>
      <w:r w:rsidR="00E94613" w:rsidRPr="00E94613">
        <w:rPr>
          <w:sz w:val="24"/>
          <w:szCs w:val="24"/>
        </w:rPr>
        <w:t>Предмет, метод і система міжнародного цивільного процесуального права</w:t>
      </w:r>
      <w:r w:rsidR="00E94613">
        <w:rPr>
          <w:sz w:val="24"/>
          <w:szCs w:val="24"/>
        </w:rPr>
        <w:t xml:space="preserve"> та сучасні джерела. </w:t>
      </w:r>
    </w:p>
    <w:p w14:paraId="35FB3C17" w14:textId="2583D527" w:rsidR="0093137E" w:rsidRPr="003972D5" w:rsidRDefault="0093137E" w:rsidP="003972D5">
      <w:pPr>
        <w:rPr>
          <w:sz w:val="24"/>
          <w:szCs w:val="24"/>
        </w:rPr>
      </w:pPr>
      <w:r w:rsidRPr="003972D5">
        <w:rPr>
          <w:sz w:val="24"/>
          <w:szCs w:val="24"/>
        </w:rPr>
        <w:t xml:space="preserve">Тема 2. </w:t>
      </w:r>
      <w:r w:rsidR="00E94613">
        <w:rPr>
          <w:sz w:val="24"/>
          <w:szCs w:val="24"/>
        </w:rPr>
        <w:t>Гармонізація підходів до вирішення цивільних і комерційних справ в рамках Європейського Союзу</w:t>
      </w:r>
    </w:p>
    <w:p w14:paraId="45B9A7B7" w14:textId="6F80E3EA" w:rsidR="0093137E" w:rsidRPr="003972D5" w:rsidRDefault="0093137E" w:rsidP="003972D5">
      <w:pPr>
        <w:rPr>
          <w:sz w:val="24"/>
          <w:szCs w:val="24"/>
        </w:rPr>
      </w:pPr>
      <w:r w:rsidRPr="003972D5">
        <w:rPr>
          <w:sz w:val="24"/>
          <w:szCs w:val="24"/>
        </w:rPr>
        <w:t xml:space="preserve">Тема 3. </w:t>
      </w:r>
      <w:r w:rsidR="0048063A">
        <w:rPr>
          <w:sz w:val="24"/>
          <w:szCs w:val="24"/>
        </w:rPr>
        <w:t>П</w:t>
      </w:r>
      <w:r w:rsidR="00E94613">
        <w:rPr>
          <w:sz w:val="24"/>
          <w:szCs w:val="24"/>
        </w:rPr>
        <w:t xml:space="preserve">ринципи міжнародного цивільного процесу. </w:t>
      </w:r>
      <w:r w:rsidR="00E94613" w:rsidRPr="00E94613">
        <w:rPr>
          <w:sz w:val="24"/>
          <w:szCs w:val="24"/>
        </w:rPr>
        <w:t>Правовий статус іноземних осіб</w:t>
      </w:r>
    </w:p>
    <w:p w14:paraId="28E042F5" w14:textId="57CDC32A" w:rsidR="0093137E" w:rsidRPr="003972D5" w:rsidRDefault="0093137E" w:rsidP="0093137E">
      <w:pPr>
        <w:rPr>
          <w:sz w:val="24"/>
          <w:szCs w:val="24"/>
        </w:rPr>
      </w:pPr>
      <w:r w:rsidRPr="003972D5">
        <w:rPr>
          <w:sz w:val="24"/>
          <w:szCs w:val="24"/>
        </w:rPr>
        <w:t xml:space="preserve">Тема 4. </w:t>
      </w:r>
      <w:r w:rsidR="00E94613">
        <w:rPr>
          <w:sz w:val="24"/>
          <w:szCs w:val="24"/>
        </w:rPr>
        <w:t xml:space="preserve">Інститут міжнародної підсудності (прямої юрисдикції чи компетенції розглядати спір). </w:t>
      </w:r>
    </w:p>
    <w:p w14:paraId="712E5A44" w14:textId="233C159B" w:rsidR="002A09FB" w:rsidRPr="003972D5" w:rsidRDefault="002A09FB" w:rsidP="003972D5">
      <w:pPr>
        <w:rPr>
          <w:sz w:val="24"/>
          <w:szCs w:val="24"/>
        </w:rPr>
      </w:pPr>
      <w:r w:rsidRPr="003972D5">
        <w:rPr>
          <w:sz w:val="24"/>
          <w:szCs w:val="24"/>
        </w:rPr>
        <w:t>Тема 5</w:t>
      </w:r>
      <w:r w:rsidR="0093137E" w:rsidRPr="003972D5">
        <w:rPr>
          <w:sz w:val="24"/>
          <w:szCs w:val="24"/>
        </w:rPr>
        <w:t xml:space="preserve">. </w:t>
      </w:r>
      <w:r w:rsidR="00671A20">
        <w:rPr>
          <w:sz w:val="24"/>
          <w:szCs w:val="24"/>
        </w:rPr>
        <w:t>Представництво сторін, інші учасники та с</w:t>
      </w:r>
      <w:r w:rsidR="00E94613">
        <w:rPr>
          <w:sz w:val="24"/>
          <w:szCs w:val="24"/>
        </w:rPr>
        <w:t>удові доручення у міжнародному цивільному процесі</w:t>
      </w:r>
    </w:p>
    <w:p w14:paraId="1A49D678" w14:textId="51354BB1" w:rsidR="002A09FB" w:rsidRPr="003972D5" w:rsidRDefault="002A09FB" w:rsidP="002A09FB">
      <w:pPr>
        <w:spacing w:line="240" w:lineRule="auto"/>
        <w:rPr>
          <w:sz w:val="24"/>
          <w:szCs w:val="24"/>
        </w:rPr>
      </w:pPr>
      <w:r w:rsidRPr="003972D5">
        <w:rPr>
          <w:sz w:val="24"/>
          <w:szCs w:val="24"/>
        </w:rPr>
        <w:t xml:space="preserve">Тема 6. </w:t>
      </w:r>
      <w:r w:rsidR="00E94613">
        <w:rPr>
          <w:sz w:val="24"/>
          <w:szCs w:val="24"/>
        </w:rPr>
        <w:t>Визнання і приведення до виконання іноземних судових рішень (опосередкована юрисдикція)</w:t>
      </w:r>
    </w:p>
    <w:p w14:paraId="227F3F0F" w14:textId="77777777" w:rsidR="00534968" w:rsidRDefault="00534968" w:rsidP="002A09FB">
      <w:pPr>
        <w:spacing w:line="240" w:lineRule="auto"/>
        <w:rPr>
          <w:sz w:val="24"/>
          <w:szCs w:val="24"/>
        </w:rPr>
      </w:pPr>
    </w:p>
    <w:p w14:paraId="2E7E11EA" w14:textId="1CB0B5E8" w:rsidR="005034B7" w:rsidRDefault="00534968" w:rsidP="002A09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рамках заочної форми навчання аудиторна робота зі студентами включає по одній лекції з кожної теми (12 годин) з рекомендованими матеріалами для подальшого самостійного опрацювання (відповідні </w:t>
      </w:r>
      <w:r w:rsidR="00E94613">
        <w:rPr>
          <w:sz w:val="24"/>
          <w:szCs w:val="24"/>
        </w:rPr>
        <w:t xml:space="preserve">міжнародні договори, в т.ч. </w:t>
      </w:r>
      <w:r>
        <w:rPr>
          <w:sz w:val="24"/>
          <w:szCs w:val="24"/>
        </w:rPr>
        <w:t>статті установчих договорів ЄС, акти вторинного зак</w:t>
      </w:r>
      <w:r w:rsidR="00E94613">
        <w:rPr>
          <w:sz w:val="24"/>
          <w:szCs w:val="24"/>
        </w:rPr>
        <w:t>онодавства ЄС та відповідна пра</w:t>
      </w:r>
      <w:r>
        <w:rPr>
          <w:sz w:val="24"/>
          <w:szCs w:val="24"/>
        </w:rPr>
        <w:t>ктика Європейського Суду Справедливості (Правосуддя)), а також одне практичне заняття (2 години). На самостійну роботу студента відведено 104 години (в т.ч. виконання домашньої контрольної роботи).</w:t>
      </w:r>
    </w:p>
    <w:p w14:paraId="00E05A2C" w14:textId="77777777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39F0015B" w14:textId="11AD9A1E" w:rsidR="002A09FB" w:rsidRPr="000B7254" w:rsidRDefault="002A09FB" w:rsidP="002A09FB">
      <w:pPr>
        <w:rPr>
          <w:b/>
          <w:sz w:val="24"/>
          <w:szCs w:val="24"/>
        </w:rPr>
      </w:pPr>
      <w:r w:rsidRPr="000B7254">
        <w:rPr>
          <w:b/>
          <w:sz w:val="24"/>
          <w:szCs w:val="24"/>
        </w:rPr>
        <w:t>Базові джерела:</w:t>
      </w:r>
    </w:p>
    <w:p w14:paraId="51E6E967" w14:textId="4A3D930D" w:rsidR="00DF1606" w:rsidRPr="00AB05AB" w:rsidRDefault="00DF1606" w:rsidP="00DF1606">
      <w:pPr>
        <w:spacing w:after="120" w:line="240" w:lineRule="auto"/>
        <w:jc w:val="both"/>
        <w:rPr>
          <w:sz w:val="24"/>
          <w:szCs w:val="24"/>
          <w:lang w:val="ru-RU"/>
        </w:rPr>
      </w:pPr>
      <w:r w:rsidRPr="00AB05AB">
        <w:rPr>
          <w:sz w:val="24"/>
          <w:szCs w:val="24"/>
          <w:lang w:val="ru-RU"/>
        </w:rPr>
        <w:t>1. Черняк Ю.В. Інститут підсудності в міжнародному приватному праві країн Європейського Союзу та України: Монографія. – К.: Прецедент, 2008.</w:t>
      </w:r>
    </w:p>
    <w:p w14:paraId="08C255F1" w14:textId="730FE01C" w:rsidR="00DF1606" w:rsidRPr="00AB05AB" w:rsidRDefault="00DF1606" w:rsidP="00DF1606">
      <w:pPr>
        <w:spacing w:after="120" w:line="240" w:lineRule="auto"/>
        <w:jc w:val="both"/>
        <w:rPr>
          <w:sz w:val="24"/>
          <w:szCs w:val="24"/>
          <w:lang w:val="ru-RU"/>
        </w:rPr>
      </w:pPr>
      <w:r w:rsidRPr="00AB05AB">
        <w:rPr>
          <w:sz w:val="24"/>
          <w:szCs w:val="24"/>
          <w:lang w:val="ru-RU"/>
        </w:rPr>
        <w:t>2. Цірат Г.А. Міжнародний цивільний процес: сучасний стан та перспективи міжнародно-правової уніфікації: монографія / Геннадій Цірат. – Х.: Видавництво Іванченко І.С., 2013. – 482 с.</w:t>
      </w:r>
    </w:p>
    <w:p w14:paraId="431582CA" w14:textId="03DBDF20" w:rsidR="00DF1606" w:rsidRPr="00AB05AB" w:rsidRDefault="00DF1606" w:rsidP="00DF1606">
      <w:pPr>
        <w:spacing w:after="120" w:line="240" w:lineRule="auto"/>
        <w:jc w:val="both"/>
        <w:rPr>
          <w:sz w:val="24"/>
          <w:szCs w:val="24"/>
          <w:lang w:val="ru-RU"/>
        </w:rPr>
      </w:pPr>
      <w:r w:rsidRPr="00AB05AB">
        <w:rPr>
          <w:sz w:val="24"/>
          <w:szCs w:val="24"/>
          <w:lang w:val="ru-RU"/>
        </w:rPr>
        <w:t>3. Окремі питання розгляду господарськими судами справ за участю іноземних юридичних осіб / упорядники: В.І.Борисова, І.П.Жигалкін,П.В.Хотенець, О.М.Сибіга. – Х.: Право, 2012. – 528 с.</w:t>
      </w:r>
    </w:p>
    <w:p w14:paraId="5B88F5C4" w14:textId="77777777" w:rsidR="00DF1606" w:rsidRPr="00DF1606" w:rsidRDefault="00DF1606" w:rsidP="00DF1606">
      <w:pPr>
        <w:spacing w:after="120" w:line="240" w:lineRule="auto"/>
        <w:jc w:val="both"/>
        <w:rPr>
          <w:sz w:val="24"/>
          <w:szCs w:val="24"/>
          <w:lang w:val="en-US"/>
        </w:rPr>
      </w:pPr>
      <w:r w:rsidRPr="00AB05AB">
        <w:rPr>
          <w:sz w:val="24"/>
          <w:szCs w:val="24"/>
          <w:lang w:val="ru-RU"/>
        </w:rPr>
        <w:t xml:space="preserve">4.Міжнародне приватне право: підручник/ за ред. А.С.Довгерта і. В.І. Кисіля. - 2 видання.- </w:t>
      </w:r>
      <w:r w:rsidRPr="00DF1606">
        <w:rPr>
          <w:sz w:val="24"/>
          <w:szCs w:val="24"/>
          <w:lang w:val="en-US"/>
        </w:rPr>
        <w:t>К.: Алерта, 2014.</w:t>
      </w:r>
    </w:p>
    <w:p w14:paraId="30495804" w14:textId="77777777" w:rsidR="00DF1606" w:rsidRPr="00AB05AB" w:rsidRDefault="00DF1606" w:rsidP="00DF1606">
      <w:pPr>
        <w:spacing w:after="120" w:line="240" w:lineRule="auto"/>
        <w:jc w:val="both"/>
        <w:rPr>
          <w:sz w:val="24"/>
          <w:szCs w:val="24"/>
          <w:lang w:val="ru-RU"/>
        </w:rPr>
      </w:pPr>
      <w:r w:rsidRPr="00AB05AB">
        <w:rPr>
          <w:sz w:val="24"/>
          <w:szCs w:val="24"/>
          <w:lang w:val="ru-RU"/>
        </w:rPr>
        <w:lastRenderedPageBreak/>
        <w:t>5.Міжнародне приватне право: науково-практичний коментар Закону України/ А.С.Довгерт, В.І.Кисіль, - К.,2008.</w:t>
      </w:r>
    </w:p>
    <w:p w14:paraId="4F247EC6" w14:textId="123B8D6F" w:rsidR="002A09FB" w:rsidRPr="000B7254" w:rsidRDefault="002A09FB" w:rsidP="002A09FB">
      <w:pPr>
        <w:spacing w:after="120" w:line="240" w:lineRule="auto"/>
        <w:jc w:val="both"/>
        <w:rPr>
          <w:b/>
          <w:sz w:val="24"/>
          <w:szCs w:val="24"/>
        </w:rPr>
      </w:pPr>
      <w:r w:rsidRPr="000B7254">
        <w:rPr>
          <w:b/>
          <w:sz w:val="24"/>
          <w:szCs w:val="24"/>
        </w:rPr>
        <w:t>Додаткові джерела</w:t>
      </w:r>
      <w:r w:rsidR="00822791" w:rsidRPr="000B7254">
        <w:rPr>
          <w:b/>
          <w:sz w:val="24"/>
          <w:szCs w:val="24"/>
        </w:rPr>
        <w:t>:</w:t>
      </w:r>
    </w:p>
    <w:p w14:paraId="349503B4" w14:textId="77777777" w:rsidR="00DF1606" w:rsidRDefault="00DF1606" w:rsidP="00DF160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1606">
        <w:rPr>
          <w:sz w:val="24"/>
          <w:szCs w:val="24"/>
        </w:rPr>
        <w:t>Галущенко Г.В. Питання міжнародного приватного права у міжнародних</w:t>
      </w:r>
      <w:r>
        <w:rPr>
          <w:sz w:val="24"/>
          <w:szCs w:val="24"/>
        </w:rPr>
        <w:t xml:space="preserve"> </w:t>
      </w:r>
      <w:r w:rsidRPr="00DF1606">
        <w:rPr>
          <w:sz w:val="24"/>
          <w:szCs w:val="24"/>
        </w:rPr>
        <w:t>договорах України про правову допомогу / Г.В.Галущенко. – К.:Видавництво «Юстініан», 2005.</w:t>
      </w:r>
    </w:p>
    <w:p w14:paraId="071B7C3A" w14:textId="7844AC96" w:rsidR="00FD7101" w:rsidRDefault="00FD7101" w:rsidP="00DF1606">
      <w:pPr>
        <w:rPr>
          <w:sz w:val="24"/>
          <w:szCs w:val="24"/>
        </w:rPr>
      </w:pPr>
      <w:r>
        <w:rPr>
          <w:sz w:val="24"/>
          <w:szCs w:val="24"/>
        </w:rPr>
        <w:t xml:space="preserve">2. Комаров В.В. </w:t>
      </w:r>
      <w:r w:rsidRPr="00FD7101">
        <w:rPr>
          <w:sz w:val="24"/>
          <w:szCs w:val="24"/>
        </w:rPr>
        <w:t>Визнання та виконання рішень іноземних судів та міжнародних комерційних арбітражів</w:t>
      </w:r>
      <w:r>
        <w:rPr>
          <w:sz w:val="24"/>
          <w:szCs w:val="24"/>
        </w:rPr>
        <w:t xml:space="preserve"> / В.В.Комаров. – Х: Право, 2020. - 668 с.</w:t>
      </w:r>
    </w:p>
    <w:p w14:paraId="640AED39" w14:textId="77777777" w:rsidR="00DF1606" w:rsidRDefault="00DF1606" w:rsidP="00DF1606">
      <w:pPr>
        <w:rPr>
          <w:b/>
          <w:sz w:val="24"/>
          <w:szCs w:val="24"/>
        </w:rPr>
      </w:pPr>
    </w:p>
    <w:p w14:paraId="5168C404" w14:textId="77777777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3B34BDFF" w14:textId="77777777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6F0D1155" w14:textId="635ED566" w:rsidR="00B73A1F" w:rsidRPr="00B73A1F" w:rsidRDefault="00B73A1F" w:rsidP="00B73A1F">
      <w:pPr>
        <w:pStyle w:val="1"/>
        <w:numPr>
          <w:ilvl w:val="0"/>
          <w:numId w:val="0"/>
        </w:numPr>
        <w:spacing w:line="240" w:lineRule="auto"/>
        <w:ind w:left="720"/>
      </w:pPr>
      <w:r>
        <w:t>5.1. Методика для заочної форми навчання</w:t>
      </w:r>
    </w:p>
    <w:p w14:paraId="12DEABBA" w14:textId="64D423CD" w:rsidR="0048063A" w:rsidRPr="0048063A" w:rsidRDefault="005034B7" w:rsidP="00AB05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93137E">
        <w:rPr>
          <w:b/>
          <w:sz w:val="24"/>
          <w:szCs w:val="24"/>
        </w:rPr>
        <w:t>.</w:t>
      </w:r>
      <w:r w:rsidR="0048063A">
        <w:rPr>
          <w:b/>
          <w:sz w:val="24"/>
          <w:szCs w:val="24"/>
        </w:rPr>
        <w:t xml:space="preserve"> (Тема 1)</w:t>
      </w:r>
      <w:r w:rsidRPr="0093137E">
        <w:rPr>
          <w:b/>
          <w:sz w:val="24"/>
          <w:szCs w:val="24"/>
        </w:rPr>
        <w:t xml:space="preserve"> </w:t>
      </w:r>
      <w:r w:rsidR="0048063A" w:rsidRPr="0048063A">
        <w:rPr>
          <w:b/>
          <w:sz w:val="24"/>
          <w:szCs w:val="24"/>
        </w:rPr>
        <w:t xml:space="preserve">Вступ до курсу Комерційні спори з іноземним елементом. Предмет, метод і система міжнародного цивільного процесуального права та сучасні джерела. </w:t>
      </w:r>
    </w:p>
    <w:p w14:paraId="45A753CF" w14:textId="77777777" w:rsidR="0048063A" w:rsidRDefault="0048063A" w:rsidP="00AB05AB">
      <w:pPr>
        <w:spacing w:line="240" w:lineRule="auto"/>
        <w:jc w:val="both"/>
        <w:rPr>
          <w:sz w:val="24"/>
          <w:szCs w:val="24"/>
        </w:rPr>
      </w:pPr>
      <w:r w:rsidRPr="0048063A">
        <w:rPr>
          <w:sz w:val="24"/>
          <w:szCs w:val="24"/>
        </w:rPr>
        <w:t>1. Зміст, структура, основні цілі курсу. Сучасні способи вирішення цивільних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спорів з «іноземним» елементом. </w:t>
      </w:r>
    </w:p>
    <w:p w14:paraId="4CF03080" w14:textId="396E51B4" w:rsidR="0048063A" w:rsidRDefault="0048063A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063A">
        <w:rPr>
          <w:sz w:val="24"/>
          <w:szCs w:val="24"/>
        </w:rPr>
        <w:t>Дискусія стосовно правової природи міжнародного цивільного процесу та його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місця в системі права. Пояснення </w:t>
      </w:r>
      <w:r>
        <w:rPr>
          <w:sz w:val="24"/>
          <w:szCs w:val="24"/>
        </w:rPr>
        <w:t xml:space="preserve">альтернативного </w:t>
      </w:r>
      <w:r w:rsidRPr="0048063A">
        <w:rPr>
          <w:sz w:val="24"/>
          <w:szCs w:val="24"/>
        </w:rPr>
        <w:t>терміну «міжнародний цивільний процес» та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його відповідн</w:t>
      </w:r>
      <w:r>
        <w:rPr>
          <w:sz w:val="24"/>
          <w:szCs w:val="24"/>
        </w:rPr>
        <w:t>ість</w:t>
      </w:r>
      <w:r w:rsidRPr="0048063A">
        <w:rPr>
          <w:sz w:val="24"/>
          <w:szCs w:val="24"/>
        </w:rPr>
        <w:t xml:space="preserve"> </w:t>
      </w:r>
      <w:r>
        <w:rPr>
          <w:sz w:val="24"/>
          <w:szCs w:val="24"/>
        </w:rPr>
        <w:t>терміну</w:t>
      </w:r>
      <w:r w:rsidRPr="0048063A">
        <w:rPr>
          <w:sz w:val="24"/>
          <w:szCs w:val="24"/>
        </w:rPr>
        <w:t xml:space="preserve"> «cross-border litigation»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в іноземному п</w:t>
      </w:r>
      <w:r>
        <w:rPr>
          <w:sz w:val="24"/>
          <w:szCs w:val="24"/>
        </w:rPr>
        <w:t>раві</w:t>
      </w:r>
      <w:r w:rsidRPr="004806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8F879F1" w14:textId="77777777" w:rsidR="0048063A" w:rsidRDefault="0048063A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8063A">
        <w:rPr>
          <w:sz w:val="24"/>
          <w:szCs w:val="24"/>
        </w:rPr>
        <w:t>Суспільні відносини, які складають предмет міжнародного цивільного процесу.</w:t>
      </w:r>
      <w:r>
        <w:rPr>
          <w:sz w:val="24"/>
          <w:szCs w:val="24"/>
        </w:rPr>
        <w:t xml:space="preserve"> </w:t>
      </w:r>
    </w:p>
    <w:p w14:paraId="7D6C4B53" w14:textId="28051B9E" w:rsidR="0048063A" w:rsidRPr="0048063A" w:rsidRDefault="0048063A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063A">
        <w:rPr>
          <w:sz w:val="24"/>
          <w:szCs w:val="24"/>
        </w:rPr>
        <w:t>Система джерел між</w:t>
      </w:r>
      <w:r>
        <w:rPr>
          <w:sz w:val="24"/>
          <w:szCs w:val="24"/>
        </w:rPr>
        <w:t>народного цивільного процесу: ї</w:t>
      </w:r>
      <w:r w:rsidRPr="0048063A">
        <w:rPr>
          <w:sz w:val="24"/>
          <w:szCs w:val="24"/>
        </w:rPr>
        <w:t>ї співвідношення із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системою джерел </w:t>
      </w:r>
      <w:r>
        <w:rPr>
          <w:sz w:val="24"/>
          <w:szCs w:val="24"/>
        </w:rPr>
        <w:t>міжнародного приватного права</w:t>
      </w:r>
      <w:r w:rsidRPr="0048063A">
        <w:rPr>
          <w:sz w:val="24"/>
          <w:szCs w:val="24"/>
        </w:rPr>
        <w:t>. Конфлікти в системі джерел міжнародного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цивільного процесу і способи їх вирішення. Міжнародні організації, які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опікуються питанням уніфікації норм міжнародного цивільного процесу.</w:t>
      </w:r>
    </w:p>
    <w:p w14:paraId="0DFCAD7B" w14:textId="30486D42" w:rsidR="0048063A" w:rsidRDefault="0048063A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063A">
        <w:rPr>
          <w:sz w:val="24"/>
          <w:szCs w:val="24"/>
        </w:rPr>
        <w:t>Характеристика міжнародних договорів, що містять норми міжнародного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цивільного процесу. Кодифікація внутрішнього законодавства з питань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міжнародного цивільного процесу. </w:t>
      </w:r>
    </w:p>
    <w:p w14:paraId="65944462" w14:textId="77777777" w:rsidR="0048063A" w:rsidRPr="0048063A" w:rsidRDefault="0048063A" w:rsidP="00AB05AB">
      <w:pPr>
        <w:spacing w:line="240" w:lineRule="auto"/>
        <w:jc w:val="both"/>
        <w:rPr>
          <w:sz w:val="24"/>
          <w:szCs w:val="24"/>
        </w:rPr>
      </w:pPr>
    </w:p>
    <w:p w14:paraId="45AB1D99" w14:textId="3B917C67" w:rsidR="005034B7" w:rsidRPr="0093137E" w:rsidRDefault="00AD6A5A" w:rsidP="00AB05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="005034B7" w:rsidRPr="0093137E">
        <w:rPr>
          <w:b/>
          <w:sz w:val="24"/>
          <w:szCs w:val="24"/>
        </w:rPr>
        <w:t xml:space="preserve"> </w:t>
      </w:r>
      <w:r w:rsidR="005034B7">
        <w:rPr>
          <w:b/>
          <w:sz w:val="24"/>
          <w:szCs w:val="24"/>
        </w:rPr>
        <w:t>2</w:t>
      </w:r>
      <w:r w:rsidR="005034B7" w:rsidRPr="0093137E">
        <w:rPr>
          <w:b/>
          <w:sz w:val="24"/>
          <w:szCs w:val="24"/>
        </w:rPr>
        <w:t xml:space="preserve">. </w:t>
      </w:r>
      <w:r w:rsidR="001E653E">
        <w:rPr>
          <w:b/>
          <w:sz w:val="24"/>
          <w:szCs w:val="24"/>
        </w:rPr>
        <w:t xml:space="preserve">(Тема 2) </w:t>
      </w:r>
      <w:r w:rsidR="0048063A" w:rsidRPr="0048063A">
        <w:rPr>
          <w:b/>
          <w:sz w:val="24"/>
          <w:szCs w:val="24"/>
        </w:rPr>
        <w:t>Гармонізація підходів до вирішення цивільних і комерційних справ в рамках Європейського Союзу</w:t>
      </w:r>
    </w:p>
    <w:p w14:paraId="662F7C9C" w14:textId="77777777" w:rsidR="0048063A" w:rsidRDefault="0048063A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8063A">
        <w:rPr>
          <w:sz w:val="24"/>
          <w:szCs w:val="24"/>
        </w:rPr>
        <w:t>Правова основа гармонізація цивільного процесуального права в державах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Європейського Союзу. </w:t>
      </w:r>
    </w:p>
    <w:p w14:paraId="7CE47928" w14:textId="77777777" w:rsidR="0048063A" w:rsidRDefault="0048063A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063A">
        <w:rPr>
          <w:sz w:val="24"/>
          <w:szCs w:val="24"/>
        </w:rPr>
        <w:t xml:space="preserve">Роль Європейського Суду Справедливості. </w:t>
      </w:r>
    </w:p>
    <w:p w14:paraId="58414540" w14:textId="6C44246A" w:rsidR="0048063A" w:rsidRPr="0048063A" w:rsidRDefault="0048063A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8063A">
        <w:rPr>
          <w:sz w:val="24"/>
          <w:szCs w:val="24"/>
        </w:rPr>
        <w:t>Огляд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чинних регламентів та директив, що формують Європейський цивільний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процес.</w:t>
      </w:r>
    </w:p>
    <w:p w14:paraId="16232B6F" w14:textId="77777777" w:rsidR="009852DB" w:rsidRDefault="009852DB" w:rsidP="00AB05AB">
      <w:pPr>
        <w:jc w:val="both"/>
        <w:rPr>
          <w:b/>
          <w:sz w:val="24"/>
          <w:szCs w:val="24"/>
        </w:rPr>
      </w:pPr>
    </w:p>
    <w:p w14:paraId="1E1D6D99" w14:textId="00D35C50" w:rsidR="00671A20" w:rsidRDefault="00AD6A5A" w:rsidP="00AB05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="005034B7"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5034B7" w:rsidRPr="0093137E">
        <w:rPr>
          <w:b/>
          <w:sz w:val="24"/>
          <w:szCs w:val="24"/>
        </w:rPr>
        <w:t xml:space="preserve">. </w:t>
      </w:r>
      <w:r w:rsidR="00B0400B">
        <w:rPr>
          <w:b/>
          <w:sz w:val="24"/>
          <w:szCs w:val="24"/>
        </w:rPr>
        <w:t xml:space="preserve">(Тема </w:t>
      </w:r>
      <w:r>
        <w:rPr>
          <w:b/>
          <w:sz w:val="24"/>
          <w:szCs w:val="24"/>
        </w:rPr>
        <w:t>3</w:t>
      </w:r>
      <w:r w:rsidR="00B0400B">
        <w:rPr>
          <w:b/>
          <w:sz w:val="24"/>
          <w:szCs w:val="24"/>
        </w:rPr>
        <w:t xml:space="preserve">) </w:t>
      </w:r>
      <w:r w:rsidR="00671A20" w:rsidRPr="00671A20">
        <w:rPr>
          <w:b/>
          <w:sz w:val="24"/>
          <w:szCs w:val="24"/>
        </w:rPr>
        <w:t>Інститут міжнародної підсудності (прямої юрисдикції чи компетенції розглядат</w:t>
      </w:r>
      <w:r w:rsidR="00671A20">
        <w:rPr>
          <w:b/>
          <w:sz w:val="24"/>
          <w:szCs w:val="24"/>
        </w:rPr>
        <w:t>и спір)</w:t>
      </w:r>
      <w:r w:rsidR="00671A20" w:rsidRPr="00671A20">
        <w:rPr>
          <w:b/>
          <w:sz w:val="24"/>
          <w:szCs w:val="24"/>
        </w:rPr>
        <w:t xml:space="preserve"> </w:t>
      </w:r>
    </w:p>
    <w:p w14:paraId="06E4B788" w14:textId="77777777" w:rsidR="009F691D" w:rsidRDefault="009F691D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691D">
        <w:rPr>
          <w:sz w:val="24"/>
          <w:szCs w:val="24"/>
        </w:rPr>
        <w:t>Поняття і ознаки міжнародної підсудності. Питання, які вирішує інститут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міжнародної підсудності. Основні національні системи визначення міжнародної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 xml:space="preserve">підсудності. </w:t>
      </w:r>
    </w:p>
    <w:p w14:paraId="054E1425" w14:textId="2DC024D1" w:rsidR="005034B7" w:rsidRDefault="009F691D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F691D">
        <w:rPr>
          <w:sz w:val="24"/>
          <w:szCs w:val="24"/>
        </w:rPr>
        <w:t>Аналіз внутрішнього законодавства України, що містить норми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інституту міжнародної підсудності. Характеристика міжнародних правових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актів про міжнародну підсудність.</w:t>
      </w:r>
    </w:p>
    <w:p w14:paraId="46F0FC55" w14:textId="77777777" w:rsidR="009F691D" w:rsidRPr="009F691D" w:rsidRDefault="009F691D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691D">
        <w:rPr>
          <w:sz w:val="24"/>
          <w:szCs w:val="24"/>
        </w:rPr>
        <w:t>Поняття міжнародної загальної підсудності. Критерії її визначення.</w:t>
      </w:r>
    </w:p>
    <w:p w14:paraId="3F513E44" w14:textId="30A07AD0" w:rsidR="009F691D" w:rsidRDefault="009F691D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F691D">
        <w:rPr>
          <w:sz w:val="24"/>
          <w:szCs w:val="24"/>
        </w:rPr>
        <w:t>Категорії справ, для яких передбачено міжнародну виключну підсудність.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Співвідношення міжнародної загальної і міжнародної виключної підсудності</w:t>
      </w:r>
    </w:p>
    <w:p w14:paraId="6DCB505B" w14:textId="3FE53750" w:rsidR="009F691D" w:rsidRPr="009F691D" w:rsidRDefault="009F691D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F691D">
        <w:rPr>
          <w:sz w:val="24"/>
          <w:szCs w:val="24"/>
        </w:rPr>
        <w:t>Правовий аналіз основних підстав виз</w:t>
      </w:r>
      <w:r>
        <w:rPr>
          <w:sz w:val="24"/>
          <w:szCs w:val="24"/>
        </w:rPr>
        <w:t xml:space="preserve">начення міжнародної спеціальної </w:t>
      </w:r>
      <w:r w:rsidRPr="009F691D">
        <w:rPr>
          <w:sz w:val="24"/>
          <w:szCs w:val="24"/>
        </w:rPr>
        <w:t>підсудності. Міжнародна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спеціальна підсудність у справах зі спорів, що стосуються діяльності</w:t>
      </w:r>
    </w:p>
    <w:p w14:paraId="1CE3AE82" w14:textId="45FA234F" w:rsidR="009F691D" w:rsidRPr="009F691D" w:rsidRDefault="009F691D" w:rsidP="00AB05AB">
      <w:pPr>
        <w:jc w:val="both"/>
        <w:rPr>
          <w:sz w:val="24"/>
          <w:szCs w:val="24"/>
        </w:rPr>
      </w:pPr>
      <w:r w:rsidRPr="009F691D">
        <w:rPr>
          <w:sz w:val="24"/>
          <w:szCs w:val="24"/>
        </w:rPr>
        <w:t xml:space="preserve">представництв іноземної компанії. </w:t>
      </w:r>
    </w:p>
    <w:p w14:paraId="17945036" w14:textId="6E52AD93" w:rsidR="009F691D" w:rsidRDefault="009F691D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F691D">
        <w:rPr>
          <w:sz w:val="24"/>
          <w:szCs w:val="24"/>
        </w:rPr>
        <w:t>Проблема «конкуренції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юрисдикцій» (lis alibi pendens), способи її вирішення.</w:t>
      </w:r>
    </w:p>
    <w:p w14:paraId="5CEB21F9" w14:textId="77777777" w:rsidR="009F691D" w:rsidRPr="009F691D" w:rsidRDefault="009F691D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691D">
        <w:rPr>
          <w:sz w:val="24"/>
          <w:szCs w:val="24"/>
        </w:rPr>
        <w:t>Передумови існування і розвитку міжнародної договірної підсудності.</w:t>
      </w:r>
    </w:p>
    <w:p w14:paraId="74D9C507" w14:textId="4FE7B762" w:rsidR="009F691D" w:rsidRPr="009F691D" w:rsidRDefault="009F691D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9F691D">
        <w:rPr>
          <w:sz w:val="24"/>
          <w:szCs w:val="24"/>
        </w:rPr>
        <w:t>Поняття і ознаки пророгаційної угоди; її відмінність від арбітражної угоди.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Питання визначеності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 xml:space="preserve">компетентного суду, обраного сторонами. </w:t>
      </w:r>
    </w:p>
    <w:p w14:paraId="48657167" w14:textId="77777777" w:rsidR="009F691D" w:rsidRPr="00671A20" w:rsidRDefault="009F691D" w:rsidP="00AB05AB">
      <w:pPr>
        <w:spacing w:line="240" w:lineRule="auto"/>
        <w:jc w:val="both"/>
        <w:rPr>
          <w:sz w:val="24"/>
          <w:szCs w:val="24"/>
        </w:rPr>
      </w:pPr>
    </w:p>
    <w:p w14:paraId="55A1C341" w14:textId="6BFA9F3E" w:rsidR="005034B7" w:rsidRDefault="00AD6A5A" w:rsidP="00AB05A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4</w:t>
      </w:r>
      <w:r w:rsidR="005034B7" w:rsidRPr="0093137E">
        <w:rPr>
          <w:b/>
          <w:sz w:val="24"/>
          <w:szCs w:val="24"/>
        </w:rPr>
        <w:t>.</w:t>
      </w:r>
      <w:r w:rsidR="005034B7">
        <w:rPr>
          <w:b/>
          <w:sz w:val="24"/>
          <w:szCs w:val="24"/>
        </w:rPr>
        <w:t xml:space="preserve"> </w:t>
      </w:r>
      <w:r w:rsidR="00B0400B">
        <w:rPr>
          <w:b/>
          <w:sz w:val="24"/>
          <w:szCs w:val="24"/>
        </w:rPr>
        <w:t xml:space="preserve">(Тема </w:t>
      </w:r>
      <w:r>
        <w:rPr>
          <w:b/>
          <w:sz w:val="24"/>
          <w:szCs w:val="24"/>
        </w:rPr>
        <w:t>4</w:t>
      </w:r>
      <w:r w:rsidR="00B0400B">
        <w:rPr>
          <w:b/>
          <w:sz w:val="24"/>
          <w:szCs w:val="24"/>
        </w:rPr>
        <w:t xml:space="preserve">) </w:t>
      </w:r>
      <w:r w:rsidR="009852DB" w:rsidRPr="009852DB">
        <w:rPr>
          <w:b/>
          <w:sz w:val="24"/>
          <w:szCs w:val="24"/>
        </w:rPr>
        <w:t>Визнання і приведення до виконання іноземних судових рішень (опосередкована юрисдикція)</w:t>
      </w:r>
    </w:p>
    <w:p w14:paraId="6A1B5323" w14:textId="5A5A4F2C" w:rsidR="009852DB" w:rsidRP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852DB">
        <w:rPr>
          <w:sz w:val="24"/>
          <w:szCs w:val="24"/>
        </w:rPr>
        <w:t xml:space="preserve">Значення інституту визнання і </w:t>
      </w:r>
      <w:r>
        <w:rPr>
          <w:sz w:val="24"/>
          <w:szCs w:val="24"/>
        </w:rPr>
        <w:t xml:space="preserve">приведення до </w:t>
      </w:r>
      <w:r w:rsidRPr="009852DB">
        <w:rPr>
          <w:sz w:val="24"/>
          <w:szCs w:val="24"/>
        </w:rPr>
        <w:t>виконання іноземних судових рішень.</w:t>
      </w:r>
    </w:p>
    <w:p w14:paraId="0FAD58BE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852DB">
        <w:rPr>
          <w:sz w:val="24"/>
          <w:szCs w:val="24"/>
        </w:rPr>
        <w:t>Міжнародні акти, які закріплюють міжнародні стандарти визнання і виконання</w:t>
      </w:r>
      <w:r>
        <w:rPr>
          <w:sz w:val="24"/>
          <w:szCs w:val="24"/>
        </w:rPr>
        <w:t xml:space="preserve"> до виконання </w:t>
      </w:r>
      <w:r w:rsidRPr="009852DB">
        <w:rPr>
          <w:sz w:val="24"/>
          <w:szCs w:val="24"/>
        </w:rPr>
        <w:t xml:space="preserve">іноземних судових рішень. </w:t>
      </w:r>
    </w:p>
    <w:p w14:paraId="45E8FED4" w14:textId="374B0A3B" w:rsidR="009852DB" w:rsidRP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852DB">
        <w:rPr>
          <w:sz w:val="24"/>
          <w:szCs w:val="24"/>
        </w:rPr>
        <w:t>Визначення категорій «іноземне судове рішення»,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«визнання іноземного судового рішення», «виконання іноземного судового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рішення»</w:t>
      </w:r>
      <w:r>
        <w:rPr>
          <w:sz w:val="24"/>
          <w:szCs w:val="24"/>
        </w:rPr>
        <w:t xml:space="preserve"> у комерційних справах</w:t>
      </w:r>
      <w:r w:rsidRPr="009852DB">
        <w:rPr>
          <w:sz w:val="24"/>
          <w:szCs w:val="24"/>
        </w:rPr>
        <w:t xml:space="preserve">. Джерела правового регулювання визнання і </w:t>
      </w:r>
      <w:r>
        <w:rPr>
          <w:sz w:val="24"/>
          <w:szCs w:val="24"/>
        </w:rPr>
        <w:t xml:space="preserve">приведення до виконання </w:t>
      </w:r>
      <w:r w:rsidRPr="009852DB">
        <w:rPr>
          <w:sz w:val="24"/>
          <w:szCs w:val="24"/>
        </w:rPr>
        <w:t>виконання іноземних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судових рішень</w:t>
      </w:r>
      <w:r>
        <w:rPr>
          <w:sz w:val="24"/>
          <w:szCs w:val="24"/>
        </w:rPr>
        <w:t>, винесених у комерційних справах,</w:t>
      </w:r>
      <w:r w:rsidRPr="009852DB">
        <w:rPr>
          <w:sz w:val="24"/>
          <w:szCs w:val="24"/>
        </w:rPr>
        <w:t xml:space="preserve"> в Україні: їх загальна характеристика та практика застосування.</w:t>
      </w:r>
    </w:p>
    <w:p w14:paraId="7BCB9E4D" w14:textId="54D4482F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852DB">
        <w:rPr>
          <w:sz w:val="24"/>
          <w:szCs w:val="24"/>
        </w:rPr>
        <w:t>Процесуальні аспекти визнання і</w:t>
      </w:r>
      <w:r>
        <w:rPr>
          <w:sz w:val="24"/>
          <w:szCs w:val="24"/>
        </w:rPr>
        <w:t xml:space="preserve"> приведення до</w:t>
      </w:r>
      <w:r w:rsidRPr="009852DB">
        <w:rPr>
          <w:sz w:val="24"/>
          <w:szCs w:val="24"/>
        </w:rPr>
        <w:t xml:space="preserve"> виконання іноземних судових рішень в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 xml:space="preserve">Україні. </w:t>
      </w:r>
    </w:p>
    <w:p w14:paraId="7843916F" w14:textId="6EE2093D" w:rsidR="003972D5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852DB">
        <w:rPr>
          <w:sz w:val="24"/>
          <w:szCs w:val="24"/>
        </w:rPr>
        <w:t xml:space="preserve">Досвід регулювання визнання і </w:t>
      </w:r>
      <w:r>
        <w:rPr>
          <w:sz w:val="24"/>
          <w:szCs w:val="24"/>
        </w:rPr>
        <w:t xml:space="preserve">приведення до </w:t>
      </w:r>
      <w:r w:rsidRPr="009852DB">
        <w:rPr>
          <w:sz w:val="24"/>
          <w:szCs w:val="24"/>
        </w:rPr>
        <w:t>виконання іноземних судових рішень в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державах Європейського Союзу. Сертифікація судового рішення як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альтернатива процедурі екзекватури.</w:t>
      </w:r>
    </w:p>
    <w:p w14:paraId="35502047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</w:p>
    <w:p w14:paraId="42139243" w14:textId="77777777" w:rsidR="002124B4" w:rsidRPr="002124B4" w:rsidRDefault="003972D5" w:rsidP="00AB05AB">
      <w:pPr>
        <w:spacing w:line="240" w:lineRule="auto"/>
        <w:jc w:val="both"/>
        <w:rPr>
          <w:b/>
          <w:sz w:val="24"/>
          <w:szCs w:val="24"/>
        </w:rPr>
      </w:pPr>
      <w:r w:rsidRPr="002124B4">
        <w:rPr>
          <w:b/>
          <w:sz w:val="24"/>
          <w:szCs w:val="24"/>
        </w:rPr>
        <w:t xml:space="preserve">Практичне заняття 1. </w:t>
      </w:r>
    </w:p>
    <w:p w14:paraId="09DCB477" w14:textId="52EACB1A" w:rsidR="003972D5" w:rsidRDefault="002124B4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3A5843">
        <w:rPr>
          <w:sz w:val="24"/>
          <w:szCs w:val="24"/>
        </w:rPr>
        <w:t>першого</w:t>
      </w:r>
      <w:r>
        <w:rPr>
          <w:sz w:val="24"/>
          <w:szCs w:val="24"/>
        </w:rPr>
        <w:t xml:space="preserve"> практичного заняття, передбачаного для заочної форми навчання, планується </w:t>
      </w:r>
      <w:r w:rsidR="003A5843">
        <w:rPr>
          <w:sz w:val="24"/>
          <w:szCs w:val="24"/>
        </w:rPr>
        <w:t xml:space="preserve">фокус на </w:t>
      </w:r>
      <w:r w:rsidR="009F3177">
        <w:rPr>
          <w:sz w:val="24"/>
          <w:szCs w:val="24"/>
        </w:rPr>
        <w:t>теми</w:t>
      </w:r>
      <w:r w:rsidR="009852DB">
        <w:rPr>
          <w:sz w:val="24"/>
          <w:szCs w:val="24"/>
        </w:rPr>
        <w:t xml:space="preserve"> 1-3</w:t>
      </w:r>
      <w:r w:rsidR="003A5843">
        <w:rPr>
          <w:sz w:val="24"/>
          <w:szCs w:val="24"/>
        </w:rPr>
        <w:t xml:space="preserve"> та </w:t>
      </w:r>
      <w:r>
        <w:rPr>
          <w:sz w:val="24"/>
          <w:szCs w:val="24"/>
        </w:rPr>
        <w:t xml:space="preserve">опрацювання основних помилок, допущених студентами в рамках виконання домашньої контрольної роботи, а також виконання тренувальних тестів, спрямованих на підготовку до </w:t>
      </w:r>
      <w:r w:rsidR="009852DB">
        <w:rPr>
          <w:sz w:val="24"/>
          <w:szCs w:val="24"/>
        </w:rPr>
        <w:t>заліку</w:t>
      </w:r>
      <w:r>
        <w:rPr>
          <w:sz w:val="24"/>
          <w:szCs w:val="24"/>
        </w:rPr>
        <w:t>.</w:t>
      </w:r>
    </w:p>
    <w:p w14:paraId="171D56BF" w14:textId="77777777" w:rsidR="003A5843" w:rsidRDefault="003A5843" w:rsidP="00AB05AB">
      <w:pPr>
        <w:spacing w:line="240" w:lineRule="auto"/>
        <w:jc w:val="both"/>
        <w:rPr>
          <w:sz w:val="24"/>
          <w:szCs w:val="24"/>
        </w:rPr>
      </w:pPr>
    </w:p>
    <w:p w14:paraId="5B958E8A" w14:textId="7AF7E4D4" w:rsidR="003A5843" w:rsidRDefault="009F3177" w:rsidP="00AB05A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Практичне заняття 2</w:t>
      </w:r>
      <w:r w:rsidR="003A5843" w:rsidRPr="002124B4">
        <w:rPr>
          <w:b/>
          <w:sz w:val="24"/>
          <w:szCs w:val="24"/>
        </w:rPr>
        <w:t>.</w:t>
      </w:r>
    </w:p>
    <w:p w14:paraId="5FD6A733" w14:textId="52275A8E" w:rsidR="003A5843" w:rsidRDefault="003A5843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другого практичного заняття, передбачаного для заочної форми навчання, планується фокус на </w:t>
      </w:r>
      <w:r w:rsidR="009F3177">
        <w:rPr>
          <w:sz w:val="24"/>
          <w:szCs w:val="24"/>
        </w:rPr>
        <w:t>теми</w:t>
      </w:r>
      <w:r w:rsidR="009852DB">
        <w:rPr>
          <w:sz w:val="24"/>
          <w:szCs w:val="24"/>
        </w:rPr>
        <w:t xml:space="preserve"> 4</w:t>
      </w:r>
      <w:r>
        <w:rPr>
          <w:sz w:val="24"/>
          <w:szCs w:val="24"/>
        </w:rPr>
        <w:t>-6 та опрацювання основних помилок, допущених студентами в рамках виконання домашньої контрольної роботи, а також виконання тренувальних тестів, спрямованих на підгот</w:t>
      </w:r>
      <w:r w:rsidR="00B73A1F">
        <w:rPr>
          <w:sz w:val="24"/>
          <w:szCs w:val="24"/>
        </w:rPr>
        <w:t xml:space="preserve">овку до </w:t>
      </w:r>
      <w:r w:rsidR="009852DB">
        <w:rPr>
          <w:sz w:val="24"/>
          <w:szCs w:val="24"/>
        </w:rPr>
        <w:t>заліку</w:t>
      </w:r>
      <w:r>
        <w:rPr>
          <w:sz w:val="24"/>
          <w:szCs w:val="24"/>
        </w:rPr>
        <w:t>.</w:t>
      </w:r>
    </w:p>
    <w:p w14:paraId="3592A0C9" w14:textId="77777777" w:rsidR="003A5843" w:rsidRDefault="003A5843" w:rsidP="00AB05AB">
      <w:pPr>
        <w:spacing w:line="240" w:lineRule="auto"/>
        <w:jc w:val="both"/>
        <w:rPr>
          <w:sz w:val="24"/>
          <w:szCs w:val="24"/>
        </w:rPr>
      </w:pPr>
    </w:p>
    <w:p w14:paraId="77C8CBA2" w14:textId="260E3F2B" w:rsidR="00B73A1F" w:rsidRPr="00B73A1F" w:rsidRDefault="00B73A1F" w:rsidP="00AB05AB">
      <w:pPr>
        <w:pStyle w:val="1"/>
        <w:numPr>
          <w:ilvl w:val="0"/>
          <w:numId w:val="0"/>
        </w:numPr>
        <w:spacing w:line="240" w:lineRule="auto"/>
        <w:ind w:left="720"/>
        <w:jc w:val="both"/>
      </w:pPr>
      <w:r>
        <w:t>5.2. Методика для стаціонарної форми навчання</w:t>
      </w:r>
    </w:p>
    <w:p w14:paraId="09642910" w14:textId="4E2153D0" w:rsidR="009852DB" w:rsidRPr="0048063A" w:rsidRDefault="00BB3164" w:rsidP="00AB05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Лекції 1-3</w:t>
      </w:r>
      <w:r w:rsidR="009852DB" w:rsidRPr="0093137E">
        <w:rPr>
          <w:b/>
          <w:sz w:val="24"/>
          <w:szCs w:val="24"/>
        </w:rPr>
        <w:t>.</w:t>
      </w:r>
      <w:r w:rsidR="009852DB">
        <w:rPr>
          <w:b/>
          <w:sz w:val="24"/>
          <w:szCs w:val="24"/>
        </w:rPr>
        <w:t xml:space="preserve"> (Тема 1)</w:t>
      </w:r>
      <w:r w:rsidR="009852DB" w:rsidRPr="0093137E">
        <w:rPr>
          <w:b/>
          <w:sz w:val="24"/>
          <w:szCs w:val="24"/>
        </w:rPr>
        <w:t xml:space="preserve"> </w:t>
      </w:r>
      <w:r w:rsidR="009852DB" w:rsidRPr="0048063A">
        <w:rPr>
          <w:b/>
          <w:sz w:val="24"/>
          <w:szCs w:val="24"/>
        </w:rPr>
        <w:t xml:space="preserve">Вступ до курсу Комерційні спори з іноземним елементом. Предмет, метод і система міжнародного цивільного процесуального права та сучасні джерела. </w:t>
      </w:r>
    </w:p>
    <w:p w14:paraId="6287FAB1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 w:rsidRPr="0048063A">
        <w:rPr>
          <w:sz w:val="24"/>
          <w:szCs w:val="24"/>
        </w:rPr>
        <w:t>1. Зміст, структура, основні цілі курсу. Сучасні способи вирішення цивільних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спорів з «іноземним» елементом. </w:t>
      </w:r>
    </w:p>
    <w:p w14:paraId="15A934C4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063A">
        <w:rPr>
          <w:sz w:val="24"/>
          <w:szCs w:val="24"/>
        </w:rPr>
        <w:t>Дискусія стосовно правової природи міжнародного цивільного процесу та його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місця в системі права. Пояснення </w:t>
      </w:r>
      <w:r>
        <w:rPr>
          <w:sz w:val="24"/>
          <w:szCs w:val="24"/>
        </w:rPr>
        <w:t xml:space="preserve">альтернативного </w:t>
      </w:r>
      <w:r w:rsidRPr="0048063A">
        <w:rPr>
          <w:sz w:val="24"/>
          <w:szCs w:val="24"/>
        </w:rPr>
        <w:t>терміну «міжнародний цивільний процес» та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його відповідн</w:t>
      </w:r>
      <w:r>
        <w:rPr>
          <w:sz w:val="24"/>
          <w:szCs w:val="24"/>
        </w:rPr>
        <w:t>ість</w:t>
      </w:r>
      <w:r w:rsidRPr="0048063A">
        <w:rPr>
          <w:sz w:val="24"/>
          <w:szCs w:val="24"/>
        </w:rPr>
        <w:t xml:space="preserve"> </w:t>
      </w:r>
      <w:r>
        <w:rPr>
          <w:sz w:val="24"/>
          <w:szCs w:val="24"/>
        </w:rPr>
        <w:t>терміну</w:t>
      </w:r>
      <w:r w:rsidRPr="0048063A">
        <w:rPr>
          <w:sz w:val="24"/>
          <w:szCs w:val="24"/>
        </w:rPr>
        <w:t xml:space="preserve"> «cross-border litigation»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в іноземному п</w:t>
      </w:r>
      <w:r>
        <w:rPr>
          <w:sz w:val="24"/>
          <w:szCs w:val="24"/>
        </w:rPr>
        <w:t>раві</w:t>
      </w:r>
      <w:r w:rsidRPr="004806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759FC3A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8063A">
        <w:rPr>
          <w:sz w:val="24"/>
          <w:szCs w:val="24"/>
        </w:rPr>
        <w:t>Суспільні відносини, які складають предмет міжнародного цивільного процесу.</w:t>
      </w:r>
      <w:r>
        <w:rPr>
          <w:sz w:val="24"/>
          <w:szCs w:val="24"/>
        </w:rPr>
        <w:t xml:space="preserve"> </w:t>
      </w:r>
    </w:p>
    <w:p w14:paraId="722DF94F" w14:textId="77777777" w:rsidR="009852DB" w:rsidRPr="0048063A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063A">
        <w:rPr>
          <w:sz w:val="24"/>
          <w:szCs w:val="24"/>
        </w:rPr>
        <w:t>Система джерел між</w:t>
      </w:r>
      <w:r>
        <w:rPr>
          <w:sz w:val="24"/>
          <w:szCs w:val="24"/>
        </w:rPr>
        <w:t>народного цивільного процесу: ї</w:t>
      </w:r>
      <w:r w:rsidRPr="0048063A">
        <w:rPr>
          <w:sz w:val="24"/>
          <w:szCs w:val="24"/>
        </w:rPr>
        <w:t>ї співвідношення із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системою джерел </w:t>
      </w:r>
      <w:r>
        <w:rPr>
          <w:sz w:val="24"/>
          <w:szCs w:val="24"/>
        </w:rPr>
        <w:t>міжнародного приватного права</w:t>
      </w:r>
      <w:r w:rsidRPr="0048063A">
        <w:rPr>
          <w:sz w:val="24"/>
          <w:szCs w:val="24"/>
        </w:rPr>
        <w:t>. Конфлікти в системі джерел міжнародного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цивільного процесу і способи їх вирішення. Міжнародні організації, які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опікуються питанням уніфікації норм міжнародного цивільного процесу.</w:t>
      </w:r>
    </w:p>
    <w:p w14:paraId="68C24D66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063A">
        <w:rPr>
          <w:sz w:val="24"/>
          <w:szCs w:val="24"/>
        </w:rPr>
        <w:t>Характеристика міжнародних договорів, що містять норми міжнародного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цивільного процесу. Кодифікація внутрішнього законодавства з питань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міжнародного цивільного процесу. </w:t>
      </w:r>
    </w:p>
    <w:p w14:paraId="01202C15" w14:textId="77777777" w:rsidR="009852DB" w:rsidRPr="0048063A" w:rsidRDefault="009852DB" w:rsidP="00AB05AB">
      <w:pPr>
        <w:spacing w:line="240" w:lineRule="auto"/>
        <w:jc w:val="both"/>
        <w:rPr>
          <w:sz w:val="24"/>
          <w:szCs w:val="24"/>
        </w:rPr>
      </w:pPr>
    </w:p>
    <w:p w14:paraId="4A47D5EE" w14:textId="6EFFD740" w:rsidR="009852DB" w:rsidRPr="0093137E" w:rsidRDefault="009852DB" w:rsidP="00AB05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Лекції</w:t>
      </w:r>
      <w:r w:rsidRPr="0093137E">
        <w:rPr>
          <w:b/>
          <w:sz w:val="24"/>
          <w:szCs w:val="24"/>
        </w:rPr>
        <w:t xml:space="preserve"> </w:t>
      </w:r>
      <w:r w:rsidR="00BB3164">
        <w:rPr>
          <w:b/>
          <w:sz w:val="24"/>
          <w:szCs w:val="24"/>
        </w:rPr>
        <w:t>4-6</w:t>
      </w:r>
      <w:r w:rsidRPr="0093137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(Тема 2) </w:t>
      </w:r>
      <w:r w:rsidRPr="0048063A">
        <w:rPr>
          <w:b/>
          <w:sz w:val="24"/>
          <w:szCs w:val="24"/>
        </w:rPr>
        <w:t>Гармонізація підходів до вирішення цивільних і комерційних справ в рамках Європейського Союзу</w:t>
      </w:r>
    </w:p>
    <w:p w14:paraId="40E6DD0F" w14:textId="77777777" w:rsidR="009852DB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8063A">
        <w:rPr>
          <w:sz w:val="24"/>
          <w:szCs w:val="24"/>
        </w:rPr>
        <w:t>Правова основа гармонізація цивільного процесуального права в державах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 xml:space="preserve">Європейського Союзу. </w:t>
      </w:r>
    </w:p>
    <w:p w14:paraId="73BB6655" w14:textId="77777777" w:rsidR="009852DB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063A">
        <w:rPr>
          <w:sz w:val="24"/>
          <w:szCs w:val="24"/>
        </w:rPr>
        <w:t xml:space="preserve">Роль Європейського Суду Справедливості. </w:t>
      </w:r>
    </w:p>
    <w:p w14:paraId="1595B113" w14:textId="67F1A1D1" w:rsidR="009852DB" w:rsidRPr="00BB3164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8063A">
        <w:rPr>
          <w:sz w:val="24"/>
          <w:szCs w:val="24"/>
        </w:rPr>
        <w:t>Огляд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чинних регламентів та директив, що формують Європейський цивільний</w:t>
      </w:r>
      <w:r>
        <w:rPr>
          <w:sz w:val="24"/>
          <w:szCs w:val="24"/>
        </w:rPr>
        <w:t xml:space="preserve"> </w:t>
      </w:r>
      <w:r w:rsidRPr="0048063A">
        <w:rPr>
          <w:sz w:val="24"/>
          <w:szCs w:val="24"/>
        </w:rPr>
        <w:t>процес.</w:t>
      </w:r>
    </w:p>
    <w:p w14:paraId="5F8AC0F3" w14:textId="77777777" w:rsidR="009852DB" w:rsidRPr="00671A20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71A20">
        <w:rPr>
          <w:sz w:val="24"/>
          <w:szCs w:val="24"/>
        </w:rPr>
        <w:t>Історія розвитку інституту правового статусу іноземних осіб у</w:t>
      </w:r>
      <w:r>
        <w:rPr>
          <w:sz w:val="24"/>
          <w:szCs w:val="24"/>
        </w:rPr>
        <w:t xml:space="preserve"> </w:t>
      </w:r>
      <w:r w:rsidRPr="00671A20">
        <w:rPr>
          <w:sz w:val="24"/>
          <w:szCs w:val="24"/>
        </w:rPr>
        <w:t>міжнародному цивільному процесі. Доступ</w:t>
      </w:r>
      <w:r>
        <w:rPr>
          <w:sz w:val="24"/>
          <w:szCs w:val="24"/>
        </w:rPr>
        <w:t xml:space="preserve"> </w:t>
      </w:r>
      <w:r w:rsidRPr="00671A20">
        <w:rPr>
          <w:sz w:val="24"/>
          <w:szCs w:val="24"/>
        </w:rPr>
        <w:t>іноземців до правосуддя; міжнародні правові акти, які його забезпечують.</w:t>
      </w:r>
    </w:p>
    <w:p w14:paraId="691924A2" w14:textId="77777777" w:rsidR="009852DB" w:rsidRPr="0093137E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671A20">
        <w:rPr>
          <w:sz w:val="24"/>
          <w:szCs w:val="24"/>
        </w:rPr>
        <w:t>Визначення цивільної</w:t>
      </w:r>
      <w:r>
        <w:rPr>
          <w:sz w:val="24"/>
          <w:szCs w:val="24"/>
        </w:rPr>
        <w:t xml:space="preserve"> </w:t>
      </w:r>
      <w:r w:rsidRPr="00671A20">
        <w:rPr>
          <w:sz w:val="24"/>
          <w:szCs w:val="24"/>
        </w:rPr>
        <w:t>процесуальної (господарської</w:t>
      </w:r>
      <w:r>
        <w:rPr>
          <w:sz w:val="24"/>
          <w:szCs w:val="24"/>
        </w:rPr>
        <w:t>/комерційної</w:t>
      </w:r>
      <w:r w:rsidRPr="00671A20">
        <w:rPr>
          <w:sz w:val="24"/>
          <w:szCs w:val="24"/>
        </w:rPr>
        <w:t xml:space="preserve"> процесуальної) право- і дієздатності. Процедури визнання іноземних офіційних документів, які підтверджуютьстатус іноземної особи.</w:t>
      </w:r>
    </w:p>
    <w:p w14:paraId="049F4C72" w14:textId="77777777" w:rsidR="009852DB" w:rsidRDefault="009852DB" w:rsidP="00AB05AB">
      <w:pPr>
        <w:jc w:val="both"/>
        <w:rPr>
          <w:b/>
          <w:sz w:val="24"/>
          <w:szCs w:val="24"/>
        </w:rPr>
      </w:pPr>
    </w:p>
    <w:p w14:paraId="6E4472F9" w14:textId="67C537AF" w:rsidR="009852DB" w:rsidRDefault="009852DB" w:rsidP="00AB05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Лекції</w:t>
      </w:r>
      <w:r w:rsidRPr="0093137E">
        <w:rPr>
          <w:b/>
          <w:sz w:val="24"/>
          <w:szCs w:val="24"/>
        </w:rPr>
        <w:t xml:space="preserve"> </w:t>
      </w:r>
      <w:r w:rsidR="00BB3164">
        <w:rPr>
          <w:b/>
          <w:sz w:val="24"/>
          <w:szCs w:val="24"/>
        </w:rPr>
        <w:t>7-9</w:t>
      </w:r>
      <w:r w:rsidRPr="0093137E">
        <w:rPr>
          <w:b/>
          <w:sz w:val="24"/>
          <w:szCs w:val="24"/>
        </w:rPr>
        <w:t xml:space="preserve">. </w:t>
      </w:r>
      <w:r w:rsidR="00BB3164">
        <w:rPr>
          <w:b/>
          <w:sz w:val="24"/>
          <w:szCs w:val="24"/>
        </w:rPr>
        <w:t>(Тема 3</w:t>
      </w:r>
      <w:r>
        <w:rPr>
          <w:b/>
          <w:sz w:val="24"/>
          <w:szCs w:val="24"/>
        </w:rPr>
        <w:t xml:space="preserve">) </w:t>
      </w:r>
      <w:r w:rsidRPr="00671A20">
        <w:rPr>
          <w:b/>
          <w:sz w:val="24"/>
          <w:szCs w:val="24"/>
        </w:rPr>
        <w:t>Інститут міжнародної підсудності (прямої юрисдикції чи компетенції розглядат</w:t>
      </w:r>
      <w:r>
        <w:rPr>
          <w:b/>
          <w:sz w:val="24"/>
          <w:szCs w:val="24"/>
        </w:rPr>
        <w:t>и спір)</w:t>
      </w:r>
      <w:r w:rsidRPr="00671A20">
        <w:rPr>
          <w:b/>
          <w:sz w:val="24"/>
          <w:szCs w:val="24"/>
        </w:rPr>
        <w:t xml:space="preserve"> </w:t>
      </w:r>
    </w:p>
    <w:p w14:paraId="52FBB830" w14:textId="77777777" w:rsidR="009852DB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691D">
        <w:rPr>
          <w:sz w:val="24"/>
          <w:szCs w:val="24"/>
        </w:rPr>
        <w:t>Поняття і ознаки міжнародної підсудності. Питання, які вирішує інститут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міжнародної підсудності. Основні національні системи визначення міжнародної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 xml:space="preserve">підсудності. </w:t>
      </w:r>
    </w:p>
    <w:p w14:paraId="1DD5DB7D" w14:textId="77777777" w:rsidR="009852DB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F691D">
        <w:rPr>
          <w:sz w:val="24"/>
          <w:szCs w:val="24"/>
        </w:rPr>
        <w:t>Аналіз внутрішнього законодавства України, що містить норми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інституту міжнародної підсудності. Характеристика міжнародних правових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актів про міжнародну підсудність.</w:t>
      </w:r>
    </w:p>
    <w:p w14:paraId="3051F9EA" w14:textId="77777777" w:rsidR="009852DB" w:rsidRPr="009F691D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691D">
        <w:rPr>
          <w:sz w:val="24"/>
          <w:szCs w:val="24"/>
        </w:rPr>
        <w:t>Поняття міжнародної загальної підсудності. Критерії її визначення.</w:t>
      </w:r>
    </w:p>
    <w:p w14:paraId="53ED65FD" w14:textId="77777777" w:rsidR="009852DB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F691D">
        <w:rPr>
          <w:sz w:val="24"/>
          <w:szCs w:val="24"/>
        </w:rPr>
        <w:t>Категорії справ, для яких передбачено міжнародну виключну підсудність.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Співвідношення міжнародної загальної і міжнародної виключної підсудності</w:t>
      </w:r>
    </w:p>
    <w:p w14:paraId="556E8EE6" w14:textId="77777777" w:rsidR="009852DB" w:rsidRPr="009F691D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F691D">
        <w:rPr>
          <w:sz w:val="24"/>
          <w:szCs w:val="24"/>
        </w:rPr>
        <w:t>Правовий аналіз основних підстав виз</w:t>
      </w:r>
      <w:r>
        <w:rPr>
          <w:sz w:val="24"/>
          <w:szCs w:val="24"/>
        </w:rPr>
        <w:t xml:space="preserve">начення міжнародної спеціальної </w:t>
      </w:r>
      <w:r w:rsidRPr="009F691D">
        <w:rPr>
          <w:sz w:val="24"/>
          <w:szCs w:val="24"/>
        </w:rPr>
        <w:t>підсудності. Міжнародна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спеціальна підсудність у справах зі спорів, що стосуються діяльності</w:t>
      </w:r>
    </w:p>
    <w:p w14:paraId="0D6CEE4A" w14:textId="77777777" w:rsidR="009852DB" w:rsidRPr="009F691D" w:rsidRDefault="009852DB" w:rsidP="00AB05AB">
      <w:pPr>
        <w:jc w:val="both"/>
        <w:rPr>
          <w:sz w:val="24"/>
          <w:szCs w:val="24"/>
        </w:rPr>
      </w:pPr>
      <w:r w:rsidRPr="009F691D">
        <w:rPr>
          <w:sz w:val="24"/>
          <w:szCs w:val="24"/>
        </w:rPr>
        <w:t xml:space="preserve">представництв іноземної компанії. </w:t>
      </w:r>
    </w:p>
    <w:p w14:paraId="26FE5378" w14:textId="77777777" w:rsidR="009852DB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F691D">
        <w:rPr>
          <w:sz w:val="24"/>
          <w:szCs w:val="24"/>
        </w:rPr>
        <w:t>Проблема «конкуренції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юрисдикцій» (lis alibi pendens), способи її вирішення.</w:t>
      </w:r>
    </w:p>
    <w:p w14:paraId="05D4DA1F" w14:textId="77777777" w:rsidR="009852DB" w:rsidRPr="009F691D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691D">
        <w:rPr>
          <w:sz w:val="24"/>
          <w:szCs w:val="24"/>
        </w:rPr>
        <w:t>Передумови існування і розвитку міжнародної договірної підсудності.</w:t>
      </w:r>
    </w:p>
    <w:p w14:paraId="6044411A" w14:textId="13F62C8A" w:rsidR="009852DB" w:rsidRPr="00BB3164" w:rsidRDefault="009852DB" w:rsidP="00AB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691D">
        <w:rPr>
          <w:sz w:val="24"/>
          <w:szCs w:val="24"/>
        </w:rPr>
        <w:t>Поняття і ознаки пророгаційної угоди; її відмінність від арбітражної угоди.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>Питання визначеності</w:t>
      </w:r>
      <w:r>
        <w:rPr>
          <w:sz w:val="24"/>
          <w:szCs w:val="24"/>
        </w:rPr>
        <w:t xml:space="preserve"> </w:t>
      </w:r>
      <w:r w:rsidRPr="009F691D">
        <w:rPr>
          <w:sz w:val="24"/>
          <w:szCs w:val="24"/>
        </w:rPr>
        <w:t xml:space="preserve">компетентного суду, обраного сторонами. </w:t>
      </w:r>
    </w:p>
    <w:p w14:paraId="403096FE" w14:textId="77777777" w:rsidR="009852DB" w:rsidRPr="00671A20" w:rsidRDefault="009852DB" w:rsidP="00AB05AB">
      <w:pPr>
        <w:spacing w:line="240" w:lineRule="auto"/>
        <w:jc w:val="both"/>
        <w:rPr>
          <w:sz w:val="24"/>
          <w:szCs w:val="24"/>
        </w:rPr>
      </w:pPr>
    </w:p>
    <w:p w14:paraId="231D6B90" w14:textId="28526826" w:rsidR="009852DB" w:rsidRDefault="00BB3164" w:rsidP="00AB05A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Лекції 10</w:t>
      </w:r>
      <w:r w:rsidR="009852DB">
        <w:rPr>
          <w:b/>
          <w:sz w:val="24"/>
          <w:szCs w:val="24"/>
        </w:rPr>
        <w:t>-12</w:t>
      </w:r>
      <w:r w:rsidR="009852DB" w:rsidRPr="0093137E">
        <w:rPr>
          <w:b/>
          <w:sz w:val="24"/>
          <w:szCs w:val="24"/>
        </w:rPr>
        <w:t>.</w:t>
      </w:r>
      <w:r w:rsidR="009852DB">
        <w:rPr>
          <w:b/>
          <w:sz w:val="24"/>
          <w:szCs w:val="24"/>
        </w:rPr>
        <w:t xml:space="preserve"> (Тема 6) </w:t>
      </w:r>
      <w:r w:rsidR="009852DB" w:rsidRPr="009852DB">
        <w:rPr>
          <w:b/>
          <w:sz w:val="24"/>
          <w:szCs w:val="24"/>
        </w:rPr>
        <w:t>Визнання і приведення до виконання іноземних судових рішень (опосередкована юрисдикція)</w:t>
      </w:r>
    </w:p>
    <w:p w14:paraId="3AB42C42" w14:textId="77777777" w:rsidR="009852DB" w:rsidRP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852DB">
        <w:rPr>
          <w:sz w:val="24"/>
          <w:szCs w:val="24"/>
        </w:rPr>
        <w:t xml:space="preserve">Значення інституту визнання і </w:t>
      </w:r>
      <w:r>
        <w:rPr>
          <w:sz w:val="24"/>
          <w:szCs w:val="24"/>
        </w:rPr>
        <w:t xml:space="preserve">приведення до </w:t>
      </w:r>
      <w:r w:rsidRPr="009852DB">
        <w:rPr>
          <w:sz w:val="24"/>
          <w:szCs w:val="24"/>
        </w:rPr>
        <w:t>виконання іноземних судових рішень.</w:t>
      </w:r>
    </w:p>
    <w:p w14:paraId="2D12BB9E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852DB">
        <w:rPr>
          <w:sz w:val="24"/>
          <w:szCs w:val="24"/>
        </w:rPr>
        <w:t>Міжнародні акти, які закріплюють міжнародні стандарти визнання і виконання</w:t>
      </w:r>
      <w:r>
        <w:rPr>
          <w:sz w:val="24"/>
          <w:szCs w:val="24"/>
        </w:rPr>
        <w:t xml:space="preserve"> до виконання </w:t>
      </w:r>
      <w:r w:rsidRPr="009852DB">
        <w:rPr>
          <w:sz w:val="24"/>
          <w:szCs w:val="24"/>
        </w:rPr>
        <w:t xml:space="preserve">іноземних судових рішень. </w:t>
      </w:r>
    </w:p>
    <w:p w14:paraId="42B4557E" w14:textId="77777777" w:rsidR="009852DB" w:rsidRP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852DB">
        <w:rPr>
          <w:sz w:val="24"/>
          <w:szCs w:val="24"/>
        </w:rPr>
        <w:t>Визначення категорій «іноземне судове рішення»,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«визнання іноземного судового рішення», «виконання іноземного судового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рішення»</w:t>
      </w:r>
      <w:r>
        <w:rPr>
          <w:sz w:val="24"/>
          <w:szCs w:val="24"/>
        </w:rPr>
        <w:t xml:space="preserve"> у комерційних справах</w:t>
      </w:r>
      <w:r w:rsidRPr="009852DB">
        <w:rPr>
          <w:sz w:val="24"/>
          <w:szCs w:val="24"/>
        </w:rPr>
        <w:t xml:space="preserve">. Джерела правового регулювання визнання і </w:t>
      </w:r>
      <w:r>
        <w:rPr>
          <w:sz w:val="24"/>
          <w:szCs w:val="24"/>
        </w:rPr>
        <w:t xml:space="preserve">приведення до виконання </w:t>
      </w:r>
      <w:r w:rsidRPr="009852DB">
        <w:rPr>
          <w:sz w:val="24"/>
          <w:szCs w:val="24"/>
        </w:rPr>
        <w:t>виконання іноземних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судових рішень</w:t>
      </w:r>
      <w:r>
        <w:rPr>
          <w:sz w:val="24"/>
          <w:szCs w:val="24"/>
        </w:rPr>
        <w:t>, винесених у комерційних справах,</w:t>
      </w:r>
      <w:r w:rsidRPr="009852DB">
        <w:rPr>
          <w:sz w:val="24"/>
          <w:szCs w:val="24"/>
        </w:rPr>
        <w:t xml:space="preserve"> в Україні: їх загальна характеристика та практика застосування.</w:t>
      </w:r>
    </w:p>
    <w:p w14:paraId="1B40AC5A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852DB">
        <w:rPr>
          <w:sz w:val="24"/>
          <w:szCs w:val="24"/>
        </w:rPr>
        <w:t>Процесуальні аспекти визнання і</w:t>
      </w:r>
      <w:r>
        <w:rPr>
          <w:sz w:val="24"/>
          <w:szCs w:val="24"/>
        </w:rPr>
        <w:t xml:space="preserve"> приведення до</w:t>
      </w:r>
      <w:r w:rsidRPr="009852DB">
        <w:rPr>
          <w:sz w:val="24"/>
          <w:szCs w:val="24"/>
        </w:rPr>
        <w:t xml:space="preserve"> виконання іноземних судових рішень в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 xml:space="preserve">Україні. </w:t>
      </w:r>
    </w:p>
    <w:p w14:paraId="1B20A98D" w14:textId="77777777" w:rsidR="009852DB" w:rsidRDefault="009852DB" w:rsidP="00AB05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852DB">
        <w:rPr>
          <w:sz w:val="24"/>
          <w:szCs w:val="24"/>
        </w:rPr>
        <w:t xml:space="preserve">Досвід регулювання визнання і </w:t>
      </w:r>
      <w:r>
        <w:rPr>
          <w:sz w:val="24"/>
          <w:szCs w:val="24"/>
        </w:rPr>
        <w:t xml:space="preserve">приведення до </w:t>
      </w:r>
      <w:r w:rsidRPr="009852DB">
        <w:rPr>
          <w:sz w:val="24"/>
          <w:szCs w:val="24"/>
        </w:rPr>
        <w:t>виконання іноземних судових рішень в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державах Європейського Союзу. Сертифікація судового рішення як</w:t>
      </w:r>
      <w:r>
        <w:rPr>
          <w:sz w:val="24"/>
          <w:szCs w:val="24"/>
        </w:rPr>
        <w:t xml:space="preserve"> </w:t>
      </w:r>
      <w:r w:rsidRPr="009852DB">
        <w:rPr>
          <w:sz w:val="24"/>
          <w:szCs w:val="24"/>
        </w:rPr>
        <w:t>альтернатива процедурі екзекватури.</w:t>
      </w:r>
    </w:p>
    <w:p w14:paraId="4F154A2F" w14:textId="77777777" w:rsidR="009852DB" w:rsidRDefault="009852DB" w:rsidP="00AB05AB">
      <w:pPr>
        <w:spacing w:line="240" w:lineRule="auto"/>
        <w:jc w:val="both"/>
        <w:rPr>
          <w:b/>
          <w:sz w:val="24"/>
          <w:szCs w:val="24"/>
        </w:rPr>
      </w:pPr>
    </w:p>
    <w:p w14:paraId="35CC4D46" w14:textId="0B0AD8A2" w:rsidR="00171784" w:rsidRPr="00171784" w:rsidRDefault="00171784" w:rsidP="00AB05A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заняття</w:t>
      </w:r>
      <w:r w:rsidRPr="00171784">
        <w:rPr>
          <w:b/>
          <w:sz w:val="24"/>
          <w:szCs w:val="24"/>
        </w:rPr>
        <w:t xml:space="preserve">. </w:t>
      </w:r>
    </w:p>
    <w:p w14:paraId="1403FB35" w14:textId="4C3CBC3B" w:rsidR="00B73A1F" w:rsidRDefault="00171784" w:rsidP="00AB05AB">
      <w:pPr>
        <w:spacing w:line="240" w:lineRule="auto"/>
        <w:jc w:val="both"/>
        <w:rPr>
          <w:sz w:val="24"/>
          <w:szCs w:val="24"/>
        </w:rPr>
      </w:pPr>
      <w:r w:rsidRPr="00171784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підготовки</w:t>
      </w:r>
      <w:r w:rsidR="009852DB">
        <w:rPr>
          <w:sz w:val="24"/>
          <w:szCs w:val="24"/>
        </w:rPr>
        <w:t xml:space="preserve"> до практичних занять, передбаче</w:t>
      </w:r>
      <w:r>
        <w:rPr>
          <w:sz w:val="24"/>
          <w:szCs w:val="24"/>
        </w:rPr>
        <w:t>них</w:t>
      </w:r>
      <w:r w:rsidRPr="00171784">
        <w:rPr>
          <w:sz w:val="24"/>
          <w:szCs w:val="24"/>
        </w:rPr>
        <w:t xml:space="preserve"> для </w:t>
      </w:r>
      <w:r>
        <w:rPr>
          <w:sz w:val="24"/>
          <w:szCs w:val="24"/>
        </w:rPr>
        <w:t>стаціонарної</w:t>
      </w:r>
      <w:r w:rsidRPr="00171784">
        <w:rPr>
          <w:sz w:val="24"/>
          <w:szCs w:val="24"/>
        </w:rPr>
        <w:t xml:space="preserve"> форми навчання, фокус планується </w:t>
      </w:r>
      <w:r>
        <w:rPr>
          <w:sz w:val="24"/>
          <w:szCs w:val="24"/>
        </w:rPr>
        <w:t>на залучення студентів до роботи з прецедентною практикою Європейського Суду Справедливості (Правосуддя) в розрізі тематики відповідних лекцій</w:t>
      </w:r>
      <w:r w:rsidRPr="00171784">
        <w:rPr>
          <w:sz w:val="24"/>
          <w:szCs w:val="24"/>
        </w:rPr>
        <w:t>, а також виконання тренувальних тестів.</w:t>
      </w:r>
    </w:p>
    <w:p w14:paraId="062FBD91" w14:textId="77777777" w:rsidR="00C53BF7" w:rsidRPr="002A09FB" w:rsidRDefault="00C53BF7" w:rsidP="003972D5">
      <w:pPr>
        <w:spacing w:line="240" w:lineRule="auto"/>
        <w:rPr>
          <w:sz w:val="24"/>
          <w:szCs w:val="24"/>
        </w:rPr>
      </w:pPr>
    </w:p>
    <w:p w14:paraId="7EFA9AA1" w14:textId="16E4232E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14:paraId="0A82B5D4" w14:textId="1379B8C0" w:rsidR="005034B7" w:rsidRDefault="005034B7" w:rsidP="004A633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курсу </w:t>
      </w:r>
      <w:r w:rsidR="003972D5">
        <w:rPr>
          <w:sz w:val="24"/>
          <w:szCs w:val="24"/>
        </w:rPr>
        <w:t xml:space="preserve">для заочної форми навчання </w:t>
      </w:r>
      <w:r>
        <w:rPr>
          <w:sz w:val="24"/>
          <w:szCs w:val="24"/>
        </w:rPr>
        <w:t>передбачено виконання домашньої контрольної роботи, яка подається викладачеві за 2 тижні до початку наступної сесії.</w:t>
      </w:r>
      <w:r w:rsidR="002124B4">
        <w:rPr>
          <w:sz w:val="24"/>
          <w:szCs w:val="24"/>
        </w:rPr>
        <w:t xml:space="preserve"> Виконання домашньої контрольної роботи слугує основним механізмом перевірки знань та навичок, отриманих студентом в ході самостійної роботи.</w:t>
      </w:r>
    </w:p>
    <w:p w14:paraId="58A28365" w14:textId="16954391" w:rsidR="00567F56" w:rsidRPr="00F91D9A" w:rsidRDefault="00171784" w:rsidP="004A633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Основним видом самостійної роботи студента в рамках курсу для стаціонарної форми навчання виступає підготовка до практичних занять.</w:t>
      </w:r>
    </w:p>
    <w:p w14:paraId="14DEF8D0" w14:textId="77777777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Політика та контроль</w:t>
      </w:r>
    </w:p>
    <w:p w14:paraId="48FBFA09" w14:textId="77777777"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15E4C985" w14:textId="77777777" w:rsidR="00821544" w:rsidRDefault="00821544" w:rsidP="0082154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C538EE">
        <w:rPr>
          <w:rFonts w:asciiTheme="minorHAnsi" w:hAnsiTheme="minorHAnsi"/>
          <w:sz w:val="24"/>
          <w:szCs w:val="24"/>
        </w:rPr>
        <w:t xml:space="preserve">Відвідування лекцій є правом студента, на лекційних заняттях не відбувається контролю присутності. </w:t>
      </w:r>
      <w:r w:rsidRPr="00415634">
        <w:rPr>
          <w:rFonts w:asciiTheme="minorHAnsi" w:hAnsiTheme="minorHAnsi"/>
          <w:sz w:val="24"/>
          <w:szCs w:val="24"/>
        </w:rPr>
        <w:t xml:space="preserve">В ході лекції у студентів є можливість ініціювати обговорення того чи іншого питання в рамках розглядуваної тематики. </w:t>
      </w:r>
    </w:p>
    <w:p w14:paraId="0513AC31" w14:textId="77777777" w:rsidR="00821544" w:rsidRDefault="00821544" w:rsidP="0082154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C538EE">
        <w:rPr>
          <w:rFonts w:asciiTheme="minorHAnsi" w:hAnsiTheme="minorHAnsi"/>
          <w:sz w:val="24"/>
          <w:szCs w:val="24"/>
        </w:rPr>
        <w:t xml:space="preserve">Обов’язковим для студента є участь у практичному/семінарському занятті, виконання </w:t>
      </w:r>
      <w:r>
        <w:rPr>
          <w:rFonts w:asciiTheme="minorHAnsi" w:hAnsiTheme="minorHAnsi"/>
          <w:sz w:val="24"/>
          <w:szCs w:val="24"/>
        </w:rPr>
        <w:t>модульної/</w:t>
      </w:r>
      <w:r w:rsidRPr="00C538EE">
        <w:rPr>
          <w:rFonts w:asciiTheme="minorHAnsi" w:hAnsiTheme="minorHAnsi"/>
          <w:sz w:val="24"/>
          <w:szCs w:val="24"/>
        </w:rPr>
        <w:t xml:space="preserve">домашньої контрольної роботи та </w:t>
      </w:r>
      <w:r>
        <w:rPr>
          <w:rFonts w:asciiTheme="minorHAnsi" w:hAnsiTheme="minorHAnsi"/>
          <w:sz w:val="24"/>
          <w:szCs w:val="24"/>
        </w:rPr>
        <w:t>присутність на занятті у день офіційного проведення</w:t>
      </w:r>
      <w:r w:rsidRPr="00C538E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заліку</w:t>
      </w:r>
      <w:r w:rsidRPr="00C538EE">
        <w:rPr>
          <w:rFonts w:asciiTheme="minorHAnsi" w:hAnsiTheme="minorHAnsi"/>
          <w:sz w:val="24"/>
          <w:szCs w:val="24"/>
        </w:rPr>
        <w:t>.</w:t>
      </w:r>
    </w:p>
    <w:p w14:paraId="5EC1821B" w14:textId="77777777" w:rsidR="00821544" w:rsidRDefault="00821544" w:rsidP="0082154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 підготовці до практичного/семінарського заняття студенти мають приділяти увагу матеріалу, зазначеному у плані відповідної лекції, а також іншим рекомендованим джерелам (в контексті того чи іншого практичного/семінарського заняття).</w:t>
      </w:r>
    </w:p>
    <w:p w14:paraId="40A92963" w14:textId="77777777" w:rsidR="00821544" w:rsidRDefault="00821544" w:rsidP="0082154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 виконанні індивідуального/командного завдання заохочується використання ілюстративних засобів допоміжного характеру на власний розсуд студента та/або команди. При цьому виконання письмової роботи, оформленої належним чином, залишається обов</w:t>
      </w:r>
      <w:r w:rsidRPr="00AB05AB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язковим (незалежно від використання презентацій, відеокліпів, майндмепів, тощо). Інший підхід до формату виконання роботи може бути допустимим за умови, що це було завчасно узгоджено з викладачем.</w:t>
      </w:r>
    </w:p>
    <w:p w14:paraId="34A5A42A" w14:textId="77777777" w:rsidR="00821544" w:rsidRDefault="00821544" w:rsidP="0082154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 виконанні будь-яких письмових робіт належна увага має приділятись дотриманню правил академічної доброчесності. В контексті того чи іншого завдання може бути зазначено про необхідність виконання</w:t>
      </w:r>
      <w:r w:rsidRPr="00C538EE">
        <w:rPr>
          <w:rFonts w:asciiTheme="minorHAnsi" w:hAnsiTheme="minorHAnsi"/>
          <w:sz w:val="24"/>
          <w:szCs w:val="24"/>
        </w:rPr>
        <w:t xml:space="preserve"> інших вимог, що не суперечать законодавству України та нормативним документам Університету</w:t>
      </w:r>
      <w:r>
        <w:rPr>
          <w:rFonts w:asciiTheme="minorHAnsi" w:hAnsiTheme="minorHAnsi"/>
          <w:sz w:val="24"/>
          <w:szCs w:val="24"/>
        </w:rPr>
        <w:t>.</w:t>
      </w:r>
    </w:p>
    <w:p w14:paraId="5197B9FF" w14:textId="77777777" w:rsidR="00821544" w:rsidRDefault="00821544" w:rsidP="0082154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Належним способом подачі письмових робіт є завантаження відповідних файлів у </w:t>
      </w:r>
      <w:r>
        <w:rPr>
          <w:rFonts w:asciiTheme="minorHAnsi" w:hAnsiTheme="minorHAnsi"/>
          <w:sz w:val="24"/>
          <w:szCs w:val="24"/>
          <w:lang w:val="en-US"/>
        </w:rPr>
        <w:t>Moodle</w:t>
      </w:r>
      <w:r>
        <w:rPr>
          <w:rFonts w:asciiTheme="minorHAnsi" w:hAnsiTheme="minorHAnsi"/>
          <w:sz w:val="24"/>
          <w:szCs w:val="24"/>
        </w:rPr>
        <w:t>, якщо тільки інший порядок не було завчасно узгоджено з викладачем.</w:t>
      </w:r>
    </w:p>
    <w:p w14:paraId="78B492CA" w14:textId="77777777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8DB088C" w14:textId="0A6585E9" w:rsidR="004A6336" w:rsidRPr="003972D5" w:rsidRDefault="004A6336" w:rsidP="00AB05AB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r w:rsidRPr="003972D5">
        <w:rPr>
          <w:rFonts w:asciiTheme="minorHAnsi" w:hAnsiTheme="minorHAnsi"/>
          <w:i/>
          <w:sz w:val="24"/>
          <w:szCs w:val="24"/>
        </w:rPr>
        <w:t>Поточний контроль: опитування за темою заняття</w:t>
      </w:r>
    </w:p>
    <w:p w14:paraId="35E3DF64" w14:textId="6A1224F0" w:rsidR="004A6336" w:rsidRPr="003972D5" w:rsidRDefault="00B40317" w:rsidP="00AB05AB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>Календарний контроль</w:t>
      </w:r>
      <w:r w:rsidR="004A6336" w:rsidRPr="003972D5">
        <w:rPr>
          <w:rFonts w:asciiTheme="minorHAnsi" w:hAnsiTheme="minorHAnsi"/>
          <w:i/>
          <w:sz w:val="24"/>
          <w:szCs w:val="24"/>
        </w:rPr>
        <w:t>:</w:t>
      </w:r>
      <w:r w:rsidRPr="003972D5">
        <w:rPr>
          <w:rFonts w:asciiTheme="minorHAnsi" w:hAnsiTheme="minorHAnsi"/>
          <w:i/>
          <w:sz w:val="24"/>
          <w:szCs w:val="24"/>
        </w:rPr>
        <w:t xml:space="preserve"> </w:t>
      </w:r>
      <w:r w:rsidR="00567F56">
        <w:rPr>
          <w:rFonts w:asciiTheme="minorHAnsi" w:hAnsiTheme="minorHAnsi"/>
          <w:i/>
          <w:sz w:val="24"/>
          <w:szCs w:val="24"/>
        </w:rPr>
        <w:t xml:space="preserve">атестація двічі на семестр для стаціонарної форми навчання, </w:t>
      </w:r>
      <w:r w:rsidR="003972D5" w:rsidRPr="003972D5">
        <w:rPr>
          <w:rFonts w:asciiTheme="minorHAnsi" w:hAnsiTheme="minorHAnsi"/>
          <w:i/>
          <w:sz w:val="24"/>
          <w:szCs w:val="24"/>
        </w:rPr>
        <w:t>не передбачено для заочної форми навчання</w:t>
      </w:r>
      <w:r w:rsidRPr="003972D5">
        <w:rPr>
          <w:rFonts w:asciiTheme="minorHAnsi" w:hAnsiTheme="minorHAnsi"/>
          <w:i/>
          <w:sz w:val="24"/>
          <w:szCs w:val="24"/>
        </w:rPr>
        <w:t>.</w:t>
      </w:r>
    </w:p>
    <w:p w14:paraId="01FDD4D3" w14:textId="22F07EA0" w:rsidR="000D1F73" w:rsidRPr="003972D5" w:rsidRDefault="000D1F73" w:rsidP="00AB05AB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 xml:space="preserve">Семестровий контроль: </w:t>
      </w:r>
      <w:r w:rsidR="009852DB">
        <w:rPr>
          <w:rFonts w:asciiTheme="minorHAnsi" w:hAnsiTheme="minorHAnsi"/>
          <w:i/>
          <w:sz w:val="24"/>
          <w:szCs w:val="24"/>
        </w:rPr>
        <w:t>залік</w:t>
      </w:r>
      <w:r w:rsidRPr="003972D5">
        <w:rPr>
          <w:rFonts w:asciiTheme="minorHAnsi" w:hAnsiTheme="minorHAnsi"/>
          <w:i/>
          <w:sz w:val="24"/>
          <w:szCs w:val="24"/>
        </w:rPr>
        <w:t xml:space="preserve"> </w:t>
      </w:r>
    </w:p>
    <w:p w14:paraId="01DA5FCC" w14:textId="5CFFDC0F" w:rsidR="00B40317" w:rsidRDefault="00B40317" w:rsidP="00AB05AB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 xml:space="preserve">Умови допуску до семестрового контролю: семестровий рейтинг </w:t>
      </w:r>
      <w:r w:rsidR="003972D5" w:rsidRPr="003972D5">
        <w:rPr>
          <w:rFonts w:asciiTheme="minorHAnsi" w:hAnsiTheme="minorHAnsi"/>
          <w:i/>
          <w:sz w:val="24"/>
          <w:szCs w:val="24"/>
        </w:rPr>
        <w:t>не менше</w:t>
      </w:r>
      <w:r w:rsidRPr="003972D5">
        <w:rPr>
          <w:rFonts w:asciiTheme="minorHAnsi" w:hAnsiTheme="minorHAnsi"/>
          <w:i/>
          <w:sz w:val="24"/>
          <w:szCs w:val="24"/>
        </w:rPr>
        <w:t xml:space="preserve"> </w:t>
      </w:r>
      <w:r w:rsidR="003972D5" w:rsidRPr="003972D5">
        <w:rPr>
          <w:rFonts w:asciiTheme="minorHAnsi" w:hAnsiTheme="minorHAnsi"/>
          <w:i/>
          <w:sz w:val="24"/>
          <w:szCs w:val="24"/>
        </w:rPr>
        <w:t>40</w:t>
      </w:r>
      <w:r w:rsidRPr="003972D5">
        <w:rPr>
          <w:rFonts w:asciiTheme="minorHAnsi" w:hAnsiTheme="minorHAnsi"/>
          <w:i/>
          <w:sz w:val="24"/>
          <w:szCs w:val="24"/>
        </w:rPr>
        <w:t xml:space="preserve"> балів.</w:t>
      </w:r>
    </w:p>
    <w:p w14:paraId="44FE6D8A" w14:textId="0F664118" w:rsidR="00821544" w:rsidRPr="001E653E" w:rsidRDefault="00821544" w:rsidP="00AB05AB">
      <w:pPr>
        <w:jc w:val="both"/>
        <w:rPr>
          <w:sz w:val="24"/>
          <w:szCs w:val="24"/>
        </w:rPr>
      </w:pPr>
      <w:r w:rsidRPr="001E653E">
        <w:rPr>
          <w:sz w:val="24"/>
          <w:szCs w:val="24"/>
        </w:rPr>
        <w:t xml:space="preserve">Загальний рейтинг студента, набраний впродовж семестру, може становити до 100 балів включно. До складових загального рейтингу входить, зокрема: поточна робота студента на практичних заняттях: 1 або 2 </w:t>
      </w:r>
      <w:r>
        <w:rPr>
          <w:sz w:val="24"/>
          <w:szCs w:val="24"/>
        </w:rPr>
        <w:t>бали за заняття (та не більше 18</w:t>
      </w:r>
      <w:r w:rsidRPr="001E653E">
        <w:rPr>
          <w:sz w:val="24"/>
          <w:szCs w:val="24"/>
        </w:rPr>
        <w:t xml:space="preserve"> балів за семестр), самостійна робота студента, ініціатива підготовки есе з проблемних питань з представленням роботи: до 10 балів за заняття (та не більше 30 балів за семестр), командна робота в групах: до 10 балів за заняття на команду, а також контрольна робота (тематична/модульна): до 10 балів за роботу (та не більше 30 балів за семестр).</w:t>
      </w:r>
    </w:p>
    <w:p w14:paraId="6FBD2E88" w14:textId="47AF0AB9" w:rsidR="00821544" w:rsidRPr="001E653E" w:rsidRDefault="00821544" w:rsidP="00AB05AB">
      <w:pPr>
        <w:jc w:val="both"/>
        <w:rPr>
          <w:sz w:val="24"/>
          <w:szCs w:val="24"/>
        </w:rPr>
      </w:pPr>
      <w:r w:rsidRPr="001E653E">
        <w:rPr>
          <w:sz w:val="24"/>
          <w:szCs w:val="24"/>
        </w:rPr>
        <w:t xml:space="preserve">Студент, який впродовж семестру не набирає 40 балів, </w:t>
      </w:r>
      <w:r>
        <w:rPr>
          <w:sz w:val="24"/>
          <w:szCs w:val="24"/>
        </w:rPr>
        <w:t>до здачі заліку не допускається</w:t>
      </w:r>
      <w:r w:rsidRPr="001E65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399C">
        <w:rPr>
          <w:sz w:val="24"/>
          <w:szCs w:val="24"/>
        </w:rPr>
        <w:t>А якщо набирає 60 і більше балів, залік може бути виставлено в автоматичному режимі (за результатами кількості балів, набраних в рамках семестру).</w:t>
      </w:r>
    </w:p>
    <w:bookmarkEnd w:id="0"/>
    <w:p w14:paraId="1FD5938A" w14:textId="77777777" w:rsidR="00821544" w:rsidRPr="003972D5" w:rsidRDefault="00821544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199D0FB" w14:textId="77777777" w:rsidR="004A6336" w:rsidRPr="005413FF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  <w:r w:rsidR="003F0A41" w:rsidRPr="005413FF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7774793A" w14:textId="77777777" w:rsidTr="0093137E">
        <w:tc>
          <w:tcPr>
            <w:tcW w:w="3119" w:type="dxa"/>
          </w:tcPr>
          <w:p w14:paraId="74F2FCAD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28D466B2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014FA00F" w14:textId="77777777" w:rsidTr="0093137E">
        <w:tc>
          <w:tcPr>
            <w:tcW w:w="3119" w:type="dxa"/>
          </w:tcPr>
          <w:p w14:paraId="4A5B999C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720D31C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0DA3DAD4" w14:textId="77777777" w:rsidTr="0093137E">
        <w:tc>
          <w:tcPr>
            <w:tcW w:w="3119" w:type="dxa"/>
          </w:tcPr>
          <w:p w14:paraId="66BC0C7B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5737AAE4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47B6FB7C" w14:textId="77777777" w:rsidTr="0093137E">
        <w:tc>
          <w:tcPr>
            <w:tcW w:w="3119" w:type="dxa"/>
          </w:tcPr>
          <w:p w14:paraId="620E9D01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65AA0CB9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61E1487E" w14:textId="77777777" w:rsidTr="0093137E">
        <w:tc>
          <w:tcPr>
            <w:tcW w:w="3119" w:type="dxa"/>
          </w:tcPr>
          <w:p w14:paraId="51DA9B9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A8EC325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5F9ABA0E" w14:textId="77777777" w:rsidTr="0093137E">
        <w:tc>
          <w:tcPr>
            <w:tcW w:w="3119" w:type="dxa"/>
          </w:tcPr>
          <w:p w14:paraId="1AA6F2C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1BB7596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4B6AC474" w14:textId="77777777" w:rsidTr="0093137E">
        <w:tc>
          <w:tcPr>
            <w:tcW w:w="3119" w:type="dxa"/>
          </w:tcPr>
          <w:p w14:paraId="4DE09EA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3D323D69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5EEEB553" w14:textId="77777777" w:rsidTr="0093137E">
        <w:tc>
          <w:tcPr>
            <w:tcW w:w="3119" w:type="dxa"/>
            <w:vAlign w:val="center"/>
          </w:tcPr>
          <w:p w14:paraId="59FF71C7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7BCBEC1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06AF085F" w14:textId="77777777" w:rsidR="004A6336" w:rsidRPr="004472C0" w:rsidRDefault="004A6336" w:rsidP="004A6336">
      <w:pPr>
        <w:pStyle w:val="1"/>
        <w:spacing w:line="240" w:lineRule="auto"/>
      </w:pPr>
      <w:r w:rsidRPr="00BA6203">
        <w:lastRenderedPageBreak/>
        <w:t>Додаткова інформація з дисципліни</w:t>
      </w:r>
      <w:r w:rsidR="00087AFC">
        <w:t xml:space="preserve"> (освітнього компонента)</w:t>
      </w:r>
    </w:p>
    <w:p w14:paraId="332FFAC2" w14:textId="77777777" w:rsidR="00F91D9A" w:rsidRPr="00F91D9A" w:rsidRDefault="00F91D9A" w:rsidP="00F91D9A">
      <w:pPr>
        <w:rPr>
          <w:sz w:val="24"/>
          <w:szCs w:val="24"/>
        </w:rPr>
      </w:pPr>
    </w:p>
    <w:p w14:paraId="2A24846E" w14:textId="7777777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55F935A5" w14:textId="212127F1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3972D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972D5" w:rsidRPr="003972D5">
        <w:rPr>
          <w:rFonts w:asciiTheme="minorHAnsi" w:hAnsiTheme="minorHAnsi"/>
          <w:bCs/>
          <w:sz w:val="22"/>
          <w:szCs w:val="22"/>
        </w:rPr>
        <w:t>старший викладач</w:t>
      </w:r>
      <w:r w:rsidR="00F677B9">
        <w:rPr>
          <w:rFonts w:asciiTheme="minorHAnsi" w:hAnsiTheme="minorHAnsi"/>
          <w:sz w:val="22"/>
          <w:szCs w:val="22"/>
        </w:rPr>
        <w:t xml:space="preserve">, </w:t>
      </w:r>
      <w:r w:rsidR="003972D5">
        <w:rPr>
          <w:rFonts w:asciiTheme="minorHAnsi" w:hAnsiTheme="minorHAnsi"/>
          <w:sz w:val="22"/>
          <w:szCs w:val="22"/>
        </w:rPr>
        <w:t>к.ю.н.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3972D5">
        <w:rPr>
          <w:rFonts w:asciiTheme="minorHAnsi" w:hAnsiTheme="minorHAnsi"/>
          <w:sz w:val="22"/>
          <w:szCs w:val="22"/>
        </w:rPr>
        <w:t>Перестюк Наталія Миколаївна</w:t>
      </w:r>
    </w:p>
    <w:p w14:paraId="548BD1EF" w14:textId="77777777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__________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 xml:space="preserve">___ </w:t>
      </w:r>
      <w:r w:rsidR="00BA590A" w:rsidRPr="0023533A">
        <w:rPr>
          <w:rFonts w:asciiTheme="minorHAnsi" w:hAnsiTheme="minorHAnsi"/>
          <w:sz w:val="22"/>
          <w:szCs w:val="22"/>
        </w:rPr>
        <w:t>від ____________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1301933F" w14:textId="22D12E7C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>__ від __</w:t>
      </w:r>
      <w:r w:rsidRPr="0023533A">
        <w:rPr>
          <w:rFonts w:asciiTheme="minorHAnsi" w:hAnsiTheme="minorHAnsi"/>
          <w:sz w:val="22"/>
          <w:szCs w:val="22"/>
        </w:rPr>
        <w:t>_____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5EFA" w14:textId="77777777" w:rsidR="00D60C98" w:rsidRDefault="00D60C98" w:rsidP="004E0EDF">
      <w:pPr>
        <w:spacing w:line="240" w:lineRule="auto"/>
      </w:pPr>
      <w:r>
        <w:separator/>
      </w:r>
    </w:p>
  </w:endnote>
  <w:endnote w:type="continuationSeparator" w:id="0">
    <w:p w14:paraId="297CF7A2" w14:textId="77777777" w:rsidR="00D60C98" w:rsidRDefault="00D60C9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BFB6" w14:textId="77777777" w:rsidR="00D60C98" w:rsidRDefault="00D60C98" w:rsidP="004E0EDF">
      <w:pPr>
        <w:spacing w:line="240" w:lineRule="auto"/>
      </w:pPr>
      <w:r>
        <w:separator/>
      </w:r>
    </w:p>
  </w:footnote>
  <w:footnote w:type="continuationSeparator" w:id="0">
    <w:p w14:paraId="45751071" w14:textId="77777777" w:rsidR="00D60C98" w:rsidRDefault="00D60C98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FEC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FB9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07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CDE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3221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33FE53CC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2053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602C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A102C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05FBD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4FD9"/>
    <w:multiLevelType w:val="hybridMultilevel"/>
    <w:tmpl w:val="B254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3283"/>
    <w:multiLevelType w:val="hybridMultilevel"/>
    <w:tmpl w:val="B254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D58D1"/>
    <w:multiLevelType w:val="hybridMultilevel"/>
    <w:tmpl w:val="331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1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9"/>
  </w:num>
  <w:num w:numId="19">
    <w:abstractNumId w:val="17"/>
  </w:num>
  <w:num w:numId="20">
    <w:abstractNumId w:val="6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64B1A"/>
    <w:rsid w:val="000710BB"/>
    <w:rsid w:val="00087AFC"/>
    <w:rsid w:val="000B7254"/>
    <w:rsid w:val="000C40A0"/>
    <w:rsid w:val="000D1F73"/>
    <w:rsid w:val="000F01A9"/>
    <w:rsid w:val="00113864"/>
    <w:rsid w:val="001435BE"/>
    <w:rsid w:val="001619DC"/>
    <w:rsid w:val="00171784"/>
    <w:rsid w:val="001943AA"/>
    <w:rsid w:val="001D56C1"/>
    <w:rsid w:val="001E653E"/>
    <w:rsid w:val="00201785"/>
    <w:rsid w:val="002124B4"/>
    <w:rsid w:val="0023533A"/>
    <w:rsid w:val="0024717A"/>
    <w:rsid w:val="00253BCC"/>
    <w:rsid w:val="00270675"/>
    <w:rsid w:val="002A09FB"/>
    <w:rsid w:val="002C2D02"/>
    <w:rsid w:val="00305307"/>
    <w:rsid w:val="00306C33"/>
    <w:rsid w:val="003972D5"/>
    <w:rsid w:val="003A5843"/>
    <w:rsid w:val="003C1370"/>
    <w:rsid w:val="003C70D8"/>
    <w:rsid w:val="003D35CF"/>
    <w:rsid w:val="003F0A41"/>
    <w:rsid w:val="004236F6"/>
    <w:rsid w:val="004442EE"/>
    <w:rsid w:val="004656E3"/>
    <w:rsid w:val="0046632F"/>
    <w:rsid w:val="00467C55"/>
    <w:rsid w:val="00472122"/>
    <w:rsid w:val="0048063A"/>
    <w:rsid w:val="00485450"/>
    <w:rsid w:val="00494B8C"/>
    <w:rsid w:val="004A615C"/>
    <w:rsid w:val="004A6336"/>
    <w:rsid w:val="004D1575"/>
    <w:rsid w:val="004E0EDF"/>
    <w:rsid w:val="004F6918"/>
    <w:rsid w:val="005034B7"/>
    <w:rsid w:val="00513101"/>
    <w:rsid w:val="005240EA"/>
    <w:rsid w:val="005251A5"/>
    <w:rsid w:val="00530BFF"/>
    <w:rsid w:val="00534968"/>
    <w:rsid w:val="005413FF"/>
    <w:rsid w:val="00556E26"/>
    <w:rsid w:val="0056135D"/>
    <w:rsid w:val="00567F56"/>
    <w:rsid w:val="00580ACC"/>
    <w:rsid w:val="005A1359"/>
    <w:rsid w:val="005D764D"/>
    <w:rsid w:val="005F4692"/>
    <w:rsid w:val="00622A02"/>
    <w:rsid w:val="00626CCC"/>
    <w:rsid w:val="00656B3B"/>
    <w:rsid w:val="00671A20"/>
    <w:rsid w:val="006757B0"/>
    <w:rsid w:val="006940DA"/>
    <w:rsid w:val="006E65B0"/>
    <w:rsid w:val="006F5C29"/>
    <w:rsid w:val="007120DC"/>
    <w:rsid w:val="00714AB2"/>
    <w:rsid w:val="007244E1"/>
    <w:rsid w:val="00742BB3"/>
    <w:rsid w:val="00773010"/>
    <w:rsid w:val="0077700A"/>
    <w:rsid w:val="00784DEC"/>
    <w:rsid w:val="00791855"/>
    <w:rsid w:val="007C4F9E"/>
    <w:rsid w:val="007E3190"/>
    <w:rsid w:val="007E7F74"/>
    <w:rsid w:val="007F7C45"/>
    <w:rsid w:val="00810E33"/>
    <w:rsid w:val="00821544"/>
    <w:rsid w:val="00822791"/>
    <w:rsid w:val="00832CCE"/>
    <w:rsid w:val="00880FD0"/>
    <w:rsid w:val="00886F20"/>
    <w:rsid w:val="00894491"/>
    <w:rsid w:val="008A03A1"/>
    <w:rsid w:val="008A4024"/>
    <w:rsid w:val="008B16FE"/>
    <w:rsid w:val="008C697D"/>
    <w:rsid w:val="008D1B2D"/>
    <w:rsid w:val="00920826"/>
    <w:rsid w:val="0093137E"/>
    <w:rsid w:val="00941384"/>
    <w:rsid w:val="00962C2E"/>
    <w:rsid w:val="009852DB"/>
    <w:rsid w:val="009A0B90"/>
    <w:rsid w:val="009B2DDB"/>
    <w:rsid w:val="009F3177"/>
    <w:rsid w:val="009F691D"/>
    <w:rsid w:val="009F69B9"/>
    <w:rsid w:val="009F751E"/>
    <w:rsid w:val="00A2464E"/>
    <w:rsid w:val="00A2798C"/>
    <w:rsid w:val="00A35E7E"/>
    <w:rsid w:val="00A90398"/>
    <w:rsid w:val="00AA4D74"/>
    <w:rsid w:val="00AA6B23"/>
    <w:rsid w:val="00AB05AB"/>
    <w:rsid w:val="00AB05C9"/>
    <w:rsid w:val="00AD5593"/>
    <w:rsid w:val="00AD6A5A"/>
    <w:rsid w:val="00AE41A6"/>
    <w:rsid w:val="00B010B6"/>
    <w:rsid w:val="00B01BF0"/>
    <w:rsid w:val="00B0400B"/>
    <w:rsid w:val="00B20824"/>
    <w:rsid w:val="00B335D2"/>
    <w:rsid w:val="00B40317"/>
    <w:rsid w:val="00B47838"/>
    <w:rsid w:val="00B73A1F"/>
    <w:rsid w:val="00BA04F2"/>
    <w:rsid w:val="00BA372F"/>
    <w:rsid w:val="00BA590A"/>
    <w:rsid w:val="00BB3164"/>
    <w:rsid w:val="00BE2A1B"/>
    <w:rsid w:val="00BF0EBE"/>
    <w:rsid w:val="00C03658"/>
    <w:rsid w:val="00C301EF"/>
    <w:rsid w:val="00C32BA6"/>
    <w:rsid w:val="00C36CE5"/>
    <w:rsid w:val="00C42A21"/>
    <w:rsid w:val="00C53BF7"/>
    <w:rsid w:val="00C55C12"/>
    <w:rsid w:val="00C613C5"/>
    <w:rsid w:val="00D05879"/>
    <w:rsid w:val="00D2172D"/>
    <w:rsid w:val="00D525C0"/>
    <w:rsid w:val="00D60C98"/>
    <w:rsid w:val="00D82DA7"/>
    <w:rsid w:val="00D92509"/>
    <w:rsid w:val="00DF0794"/>
    <w:rsid w:val="00DF1606"/>
    <w:rsid w:val="00DF2BE2"/>
    <w:rsid w:val="00E0088D"/>
    <w:rsid w:val="00E06AC5"/>
    <w:rsid w:val="00E17713"/>
    <w:rsid w:val="00E80063"/>
    <w:rsid w:val="00E90B99"/>
    <w:rsid w:val="00E94613"/>
    <w:rsid w:val="00EA09E7"/>
    <w:rsid w:val="00EA0EB9"/>
    <w:rsid w:val="00EB4F56"/>
    <w:rsid w:val="00EC0CC5"/>
    <w:rsid w:val="00EC4C41"/>
    <w:rsid w:val="00F07301"/>
    <w:rsid w:val="00F162DC"/>
    <w:rsid w:val="00F20149"/>
    <w:rsid w:val="00F25DB2"/>
    <w:rsid w:val="00F51B26"/>
    <w:rsid w:val="00F64ECB"/>
    <w:rsid w:val="00F677B9"/>
    <w:rsid w:val="00F77E2B"/>
    <w:rsid w:val="00F8372F"/>
    <w:rsid w:val="00F91D9A"/>
    <w:rsid w:val="00F95D78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BFD63"/>
  <w15:docId w15:val="{0156B694-71BA-428B-893B-24A10162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styleId="af1">
    <w:name w:val="FollowedHyperlink"/>
    <w:basedOn w:val="a1"/>
    <w:semiHidden/>
    <w:unhideWhenUsed/>
    <w:rsid w:val="002A0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4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natalia@perestyu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BBA52-907C-421D-851B-7F687507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Nastya</cp:lastModifiedBy>
  <cp:revision>4</cp:revision>
  <cp:lastPrinted>2020-09-07T13:50:00Z</cp:lastPrinted>
  <dcterms:created xsi:type="dcterms:W3CDTF">2021-06-15T19:47:00Z</dcterms:created>
  <dcterms:modified xsi:type="dcterms:W3CDTF">2021-06-16T06:56:00Z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