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F74971" w14:paraId="0DBFEBE5" w14:textId="77777777" w:rsidTr="006146FB">
        <w:trPr>
          <w:trHeight w:val="557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F74971" w:rsidRDefault="00AE41A6" w:rsidP="002E4CC7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F74971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F74971" w:rsidRDefault="00AE41A6" w:rsidP="002E4CC7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  <w:r w:rsidRPr="00F74971">
              <w:rPr>
                <w:b/>
                <w:sz w:val="24"/>
                <w:szCs w:val="24"/>
              </w:rPr>
              <w:t xml:space="preserve">Емблема </w:t>
            </w:r>
            <w:r w:rsidRPr="00F74971">
              <w:rPr>
                <w:b/>
                <w:sz w:val="24"/>
                <w:szCs w:val="24"/>
              </w:rPr>
              <w:br/>
              <w:t>кафедри</w:t>
            </w:r>
            <w:r w:rsidR="000710BB" w:rsidRPr="00F74971">
              <w:rPr>
                <w:b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A58723C" w:rsidR="00AE41A6" w:rsidRPr="00F74971" w:rsidRDefault="006146FB" w:rsidP="002E4CC7">
            <w:pPr>
              <w:spacing w:line="240" w:lineRule="auto"/>
              <w:rPr>
                <w:b/>
                <w:sz w:val="24"/>
                <w:szCs w:val="24"/>
              </w:rPr>
            </w:pPr>
            <w:r w:rsidRPr="00F74971">
              <w:rPr>
                <w:b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7E3190" w:rsidRPr="00F74971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DCDDC78" w14:textId="77777777" w:rsidR="00356E13" w:rsidRDefault="00356E13" w:rsidP="002E4C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4DF629F" w14:textId="3D6F9C59" w:rsidR="00B22E57" w:rsidRPr="00F74971" w:rsidRDefault="00356E13" w:rsidP="002E4C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4971">
              <w:rPr>
                <w:b/>
                <w:sz w:val="24"/>
                <w:szCs w:val="24"/>
              </w:rPr>
              <w:t>ЗМАГАЛЬНИЙ СУДОВИЙ ПРОЦЕС</w:t>
            </w:r>
          </w:p>
          <w:p w14:paraId="46D36ADD" w14:textId="5E649CC7" w:rsidR="007E3190" w:rsidRPr="00F74971" w:rsidRDefault="007E3190" w:rsidP="002E4C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4971">
              <w:rPr>
                <w:b/>
                <w:sz w:val="24"/>
                <w:szCs w:val="24"/>
              </w:rPr>
              <w:t>Робоча програма навчальної дисципліни</w:t>
            </w:r>
            <w:r w:rsidR="00D82DA7" w:rsidRPr="00F74971">
              <w:rPr>
                <w:b/>
                <w:sz w:val="24"/>
                <w:szCs w:val="24"/>
              </w:rPr>
              <w:t xml:space="preserve"> (Силабус)</w:t>
            </w:r>
          </w:p>
        </w:tc>
      </w:tr>
    </w:tbl>
    <w:p w14:paraId="2E4C324D" w14:textId="0D46D5E4" w:rsidR="00AA6B23" w:rsidRPr="00F74971" w:rsidRDefault="00AA6B23" w:rsidP="002E4CC7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F74971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2C880F5" w:rsidR="004A6336" w:rsidRPr="00F74971" w:rsidRDefault="00C61B58" w:rsidP="002E4CC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 xml:space="preserve">Другий </w:t>
            </w:r>
            <w:r w:rsidR="004A6336" w:rsidRPr="00F74971">
              <w:rPr>
                <w:i/>
                <w:sz w:val="24"/>
                <w:szCs w:val="24"/>
              </w:rPr>
              <w:t xml:space="preserve"> (</w:t>
            </w:r>
            <w:r w:rsidRPr="00F74971">
              <w:rPr>
                <w:i/>
                <w:sz w:val="24"/>
                <w:szCs w:val="24"/>
              </w:rPr>
              <w:t>магістерський</w:t>
            </w:r>
            <w:r w:rsidR="004A6336" w:rsidRPr="00F74971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4A6336" w:rsidRPr="00F74971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0EEF61AD" w:rsidR="004A6336" w:rsidRPr="00F74971" w:rsidRDefault="0030530B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ru-RU"/>
              </w:rPr>
            </w:pPr>
            <w:r w:rsidRPr="00F74971">
              <w:rPr>
                <w:i/>
                <w:sz w:val="24"/>
                <w:szCs w:val="24"/>
              </w:rPr>
              <w:t xml:space="preserve">08 </w:t>
            </w:r>
            <w:r w:rsidRPr="00F74971">
              <w:rPr>
                <w:i/>
                <w:sz w:val="24"/>
                <w:szCs w:val="24"/>
                <w:lang w:val="ru-RU"/>
              </w:rPr>
              <w:t>Право</w:t>
            </w:r>
          </w:p>
        </w:tc>
      </w:tr>
      <w:tr w:rsidR="004A6336" w:rsidRPr="00F74971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D3E0F0F" w:rsidR="004A6336" w:rsidRPr="00F74971" w:rsidRDefault="006146FB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081 Право</w:t>
            </w:r>
          </w:p>
        </w:tc>
      </w:tr>
      <w:tr w:rsidR="004A6336" w:rsidRPr="00F74971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EFAE3F5" w:rsidR="004A6336" w:rsidRPr="00F74971" w:rsidRDefault="006146FB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Право</w:t>
            </w:r>
          </w:p>
        </w:tc>
      </w:tr>
      <w:tr w:rsidR="004A6336" w:rsidRPr="00F74971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F74971" w:rsidRDefault="00AB05C9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 xml:space="preserve">Статус </w:t>
            </w:r>
            <w:r w:rsidR="003D35CF" w:rsidRPr="00F74971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74E958CF" w14:textId="38588835" w:rsidR="004A6336" w:rsidRPr="00F74971" w:rsidRDefault="00BF0850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Вибіркова</w:t>
            </w:r>
            <w:r w:rsidR="00405C9F" w:rsidRPr="00F74971">
              <w:rPr>
                <w:i/>
                <w:sz w:val="24"/>
                <w:szCs w:val="24"/>
              </w:rPr>
              <w:t xml:space="preserve"> </w:t>
            </w:r>
            <w:r w:rsidR="004A6336" w:rsidRPr="00F7497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4491" w:rsidRPr="00F74971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F74971" w:rsidRDefault="00894491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BFDAEB9" w:rsidR="00894491" w:rsidRPr="00F74971" w:rsidRDefault="00BF0850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Денна, заочна</w:t>
            </w:r>
          </w:p>
        </w:tc>
      </w:tr>
      <w:tr w:rsidR="007244E1" w:rsidRPr="00F74971" w14:paraId="74284CAA" w14:textId="77777777" w:rsidTr="00EF4AD9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F74971" w:rsidRDefault="007244E1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76069A5C" w:rsidR="007244E1" w:rsidRPr="00F74971" w:rsidRDefault="00C61B58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1</w:t>
            </w:r>
            <w:r w:rsidR="00405C9F" w:rsidRPr="00F74971">
              <w:rPr>
                <w:i/>
                <w:sz w:val="24"/>
                <w:szCs w:val="24"/>
              </w:rPr>
              <w:t xml:space="preserve"> курс, весняний </w:t>
            </w:r>
            <w:r w:rsidR="007244E1" w:rsidRPr="00F74971">
              <w:rPr>
                <w:i/>
                <w:sz w:val="24"/>
                <w:szCs w:val="24"/>
              </w:rPr>
              <w:t>семестр</w:t>
            </w:r>
            <w:bookmarkStart w:id="0" w:name="_GoBack"/>
            <w:bookmarkEnd w:id="0"/>
          </w:p>
        </w:tc>
      </w:tr>
      <w:tr w:rsidR="004A6336" w:rsidRPr="00F74971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F74971" w:rsidRDefault="006F5C29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350A34EA" w:rsidR="004A6336" w:rsidRPr="00EF4AD9" w:rsidRDefault="00EF4AD9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F4AD9">
              <w:rPr>
                <w:i/>
                <w:sz w:val="24"/>
                <w:szCs w:val="24"/>
              </w:rPr>
              <w:t>120 годин (4 кредити)</w:t>
            </w:r>
          </w:p>
        </w:tc>
      </w:tr>
      <w:tr w:rsidR="007244E1" w:rsidRPr="00F74971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F74971" w:rsidRDefault="007244E1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FFFD258" w:rsidR="007244E1" w:rsidRPr="00EF4AD9" w:rsidRDefault="00405C9F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F4AD9">
              <w:rPr>
                <w:i/>
                <w:sz w:val="24"/>
                <w:szCs w:val="24"/>
              </w:rPr>
              <w:t>Залік</w:t>
            </w:r>
          </w:p>
        </w:tc>
      </w:tr>
      <w:tr w:rsidR="007E3190" w:rsidRPr="00F74971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5326B8E" w:rsidR="004A6336" w:rsidRPr="00F74971" w:rsidRDefault="006146FB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F74971">
              <w:rPr>
                <w:i/>
                <w:sz w:val="24"/>
                <w:szCs w:val="24"/>
                <w:lang w:val="en-US"/>
              </w:rPr>
              <w:t>http://rozklad.kpi.ua/</w:t>
            </w:r>
          </w:p>
        </w:tc>
      </w:tr>
      <w:tr w:rsidR="004A6336" w:rsidRPr="00F74971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F74971" w:rsidRDefault="004A6336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52037EA" w:rsidR="004A6336" w:rsidRPr="00F74971" w:rsidRDefault="00306C33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Українська</w:t>
            </w:r>
          </w:p>
        </w:tc>
      </w:tr>
      <w:tr w:rsidR="004A6336" w:rsidRPr="00F74971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F74971" w:rsidRDefault="006F5C29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 xml:space="preserve">Інформація про </w:t>
            </w:r>
            <w:r w:rsidRPr="00F74971">
              <w:rPr>
                <w:sz w:val="24"/>
                <w:szCs w:val="24"/>
              </w:rPr>
              <w:br/>
            </w:r>
            <w:r w:rsidRPr="00F74971">
              <w:rPr>
                <w:sz w:val="24"/>
                <w:szCs w:val="24"/>
                <w:lang w:val="ru-RU"/>
              </w:rPr>
              <w:t>к</w:t>
            </w:r>
            <w:r w:rsidR="00D82DA7" w:rsidRPr="00F74971">
              <w:rPr>
                <w:sz w:val="24"/>
                <w:szCs w:val="24"/>
              </w:rPr>
              <w:t>ерівник</w:t>
            </w:r>
            <w:r w:rsidRPr="00F74971">
              <w:rPr>
                <w:sz w:val="24"/>
                <w:szCs w:val="24"/>
              </w:rPr>
              <w:t>а</w:t>
            </w:r>
            <w:r w:rsidR="00D82DA7" w:rsidRPr="00F74971">
              <w:rPr>
                <w:sz w:val="24"/>
                <w:szCs w:val="24"/>
              </w:rPr>
              <w:t xml:space="preserve"> курсу / викладачі</w:t>
            </w:r>
            <w:r w:rsidR="007244E1" w:rsidRPr="00F74971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5087E867" w14:textId="69DD03D9" w:rsidR="004A6336" w:rsidRPr="00F74971" w:rsidRDefault="00405C9F" w:rsidP="002E4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доктор</w:t>
            </w:r>
            <w:r w:rsidR="006146FB" w:rsidRPr="00F74971">
              <w:rPr>
                <w:i/>
                <w:sz w:val="24"/>
                <w:szCs w:val="24"/>
              </w:rPr>
              <w:t xml:space="preserve"> юридичних наук</w:t>
            </w:r>
            <w:r w:rsidR="004A6336" w:rsidRPr="00F74971">
              <w:rPr>
                <w:i/>
                <w:sz w:val="24"/>
                <w:szCs w:val="24"/>
              </w:rPr>
              <w:t xml:space="preserve">, </w:t>
            </w:r>
            <w:r w:rsidR="006E07FE" w:rsidRPr="00F74971">
              <w:rPr>
                <w:i/>
                <w:sz w:val="24"/>
                <w:szCs w:val="24"/>
              </w:rPr>
              <w:t xml:space="preserve">доцент, </w:t>
            </w:r>
            <w:r w:rsidRPr="00F74971">
              <w:rPr>
                <w:i/>
                <w:sz w:val="24"/>
                <w:szCs w:val="24"/>
              </w:rPr>
              <w:t xml:space="preserve">професор </w:t>
            </w:r>
            <w:r w:rsidR="006E07FE" w:rsidRPr="00F74971">
              <w:rPr>
                <w:i/>
                <w:sz w:val="24"/>
                <w:szCs w:val="24"/>
              </w:rPr>
              <w:t xml:space="preserve">кафедри господарського та адміністративного права </w:t>
            </w:r>
            <w:r w:rsidRPr="00F74971">
              <w:rPr>
                <w:i/>
                <w:sz w:val="24"/>
                <w:szCs w:val="24"/>
              </w:rPr>
              <w:t>Кравчук Олексій Олегович</w:t>
            </w:r>
            <w:r w:rsidR="006146FB" w:rsidRPr="00F74971">
              <w:rPr>
                <w:i/>
                <w:sz w:val="24"/>
                <w:szCs w:val="24"/>
              </w:rPr>
              <w:t>, e-mail</w:t>
            </w:r>
            <w:r w:rsidR="006146FB" w:rsidRPr="00F74971">
              <w:rPr>
                <w:i/>
                <w:sz w:val="24"/>
                <w:szCs w:val="24"/>
                <w:lang w:val="ru-RU"/>
              </w:rPr>
              <w:t>:</w:t>
            </w:r>
            <w:r w:rsidR="006146FB" w:rsidRPr="00F74971">
              <w:rPr>
                <w:i/>
                <w:sz w:val="24"/>
                <w:szCs w:val="24"/>
              </w:rPr>
              <w:t xml:space="preserve"> </w:t>
            </w:r>
            <w:hyperlink r:id="rId12" w:history="1">
              <w:r w:rsidRPr="00F74971">
                <w:rPr>
                  <w:rStyle w:val="a5"/>
                  <w:i/>
                  <w:color w:val="auto"/>
                  <w:spacing w:val="5"/>
                  <w:sz w:val="24"/>
                  <w:szCs w:val="24"/>
                  <w:u w:val="none"/>
                </w:rPr>
                <w:t>o.kravchuk@kpi.ua</w:t>
              </w:r>
            </w:hyperlink>
          </w:p>
        </w:tc>
      </w:tr>
      <w:tr w:rsidR="004A6336" w:rsidRPr="00F74971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F74971" w:rsidRDefault="006F5C29" w:rsidP="002E4CC7">
            <w:pPr>
              <w:spacing w:line="240" w:lineRule="auto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47DB32E2" w:rsidR="007E3190" w:rsidRPr="00F74971" w:rsidRDefault="007E3190" w:rsidP="002E4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88F9975" w14:textId="78917BE2" w:rsidR="004A6336" w:rsidRPr="00F74971" w:rsidRDefault="00AA6B23" w:rsidP="002E4CC7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Програма навчальної дисципліни</w:t>
      </w:r>
    </w:p>
    <w:p w14:paraId="22DE2A3D" w14:textId="3DBF1FC6" w:rsidR="00405C9F" w:rsidRPr="00F74971" w:rsidRDefault="004D1575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Опис</w:t>
      </w:r>
      <w:r w:rsidR="004A6336" w:rsidRPr="00F74971">
        <w:rPr>
          <w:rFonts w:ascii="Times New Roman" w:hAnsi="Times New Roman"/>
          <w:color w:val="auto"/>
        </w:rPr>
        <w:t xml:space="preserve"> </w:t>
      </w:r>
      <w:r w:rsidR="00AA6B23" w:rsidRPr="00F74971">
        <w:rPr>
          <w:rFonts w:ascii="Times New Roman" w:hAnsi="Times New Roman"/>
          <w:color w:val="auto"/>
        </w:rPr>
        <w:t xml:space="preserve">навчальної </w:t>
      </w:r>
      <w:r w:rsidR="004A6336" w:rsidRPr="00F74971">
        <w:rPr>
          <w:rFonts w:ascii="Times New Roman" w:hAnsi="Times New Roman"/>
          <w:color w:val="auto"/>
        </w:rPr>
        <w:t>дисципліни</w:t>
      </w:r>
      <w:r w:rsidR="006F5C29" w:rsidRPr="00F74971">
        <w:rPr>
          <w:rFonts w:ascii="Times New Roman" w:hAnsi="Times New Roman"/>
          <w:color w:val="auto"/>
        </w:rPr>
        <w:t>, її мета, предмет вивчання та результати навчання</w:t>
      </w:r>
    </w:p>
    <w:p w14:paraId="3EA9B2B0" w14:textId="4F248B32" w:rsidR="00E83EA3" w:rsidRPr="00F74971" w:rsidRDefault="00356E13" w:rsidP="002E4CC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Навчальна дисципліна</w:t>
      </w:r>
      <w:r w:rsidR="00C95E25" w:rsidRPr="00F74971">
        <w:rPr>
          <w:sz w:val="24"/>
          <w:szCs w:val="24"/>
        </w:rPr>
        <w:t xml:space="preserve"> </w:t>
      </w:r>
      <w:r w:rsidR="00C95E25" w:rsidRPr="00F74971">
        <w:rPr>
          <w:sz w:val="24"/>
          <w:szCs w:val="24"/>
          <w:lang w:val="ru-RU"/>
        </w:rPr>
        <w:t xml:space="preserve">“Змагальний судовий процес” </w:t>
      </w:r>
      <w:r>
        <w:rPr>
          <w:sz w:val="24"/>
          <w:szCs w:val="24"/>
          <w:lang w:val="ru-RU"/>
        </w:rPr>
        <w:t xml:space="preserve">спрямована на </w:t>
      </w:r>
      <w:r w:rsidR="00C95E25" w:rsidRPr="00F74971">
        <w:rPr>
          <w:sz w:val="24"/>
          <w:szCs w:val="24"/>
        </w:rPr>
        <w:t>п</w:t>
      </w:r>
      <w:r>
        <w:rPr>
          <w:sz w:val="24"/>
          <w:szCs w:val="24"/>
        </w:rPr>
        <w:t>оглиблене вивчення</w:t>
      </w:r>
      <w:r w:rsidR="00E83EA3" w:rsidRPr="00F74971">
        <w:rPr>
          <w:sz w:val="24"/>
          <w:szCs w:val="24"/>
        </w:rPr>
        <w:t xml:space="preserve"> принцип</w:t>
      </w:r>
      <w:r>
        <w:rPr>
          <w:sz w:val="24"/>
          <w:szCs w:val="24"/>
        </w:rPr>
        <w:t>у</w:t>
      </w:r>
      <w:r w:rsidR="00E83EA3" w:rsidRPr="00F74971">
        <w:rPr>
          <w:sz w:val="24"/>
          <w:szCs w:val="24"/>
        </w:rPr>
        <w:t xml:space="preserve"> рівності сторін у судових процедурах, особливості доказування в змагальному судовому процесі, право мати час і необхідні можливості для підготовки до захисту, права сторін знати і коментувати всі докази протилежної сторони, право допиту свідків. Розглядаються засади оцінки, в т.ч. визначення належності а також допустимості і недопустимості доказів, доктрина плодів отруйного дерева, презумпція невинуватості як елементи змагального судового процесу.</w:t>
      </w:r>
    </w:p>
    <w:p w14:paraId="0F38EC66" w14:textId="77777777" w:rsidR="00E83EA3" w:rsidRPr="00F74971" w:rsidRDefault="00E83EA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Одним із основних методів курсу є навчальний судовий процес (</w:t>
      </w:r>
      <w:r w:rsidRPr="00F74971">
        <w:rPr>
          <w:sz w:val="24"/>
          <w:szCs w:val="24"/>
          <w:lang w:val="ru-RU"/>
        </w:rPr>
        <w:t>mock</w:t>
      </w:r>
      <w:r w:rsidRPr="00F74971">
        <w:rPr>
          <w:sz w:val="24"/>
          <w:szCs w:val="24"/>
        </w:rPr>
        <w:t xml:space="preserve"> </w:t>
      </w:r>
      <w:r w:rsidRPr="00F74971">
        <w:rPr>
          <w:sz w:val="24"/>
          <w:szCs w:val="24"/>
          <w:lang w:val="ru-RU"/>
        </w:rPr>
        <w:t>trial</w:t>
      </w:r>
      <w:r w:rsidRPr="00F74971">
        <w:rPr>
          <w:sz w:val="24"/>
          <w:szCs w:val="24"/>
        </w:rPr>
        <w:t>), що полягає в поділі студентів на групи із визначенням ролей та імітація судового процесу та його окремих елементів у навчальній судовій справі. У ході навчального судового процесу відпрацьовуються навички вироблення і аргументування власної позиції перед судом, прийняття і мотивування судових рішень та їх написання.</w:t>
      </w:r>
    </w:p>
    <w:p w14:paraId="5CD46B3C" w14:textId="18E40277" w:rsidR="00C95E25" w:rsidRPr="00F74971" w:rsidRDefault="00E83EA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Метою</w:t>
      </w:r>
      <w:r w:rsidR="00356E13">
        <w:rPr>
          <w:sz w:val="24"/>
          <w:szCs w:val="24"/>
        </w:rPr>
        <w:t xml:space="preserve"> навчальної дисципліни</w:t>
      </w:r>
      <w:r w:rsidRPr="00F74971">
        <w:rPr>
          <w:sz w:val="24"/>
          <w:szCs w:val="24"/>
        </w:rPr>
        <w:t xml:space="preserve"> є поглиблення у студентів знань основних засад (принципів) та процедур змагального судочинства в Україні. </w:t>
      </w:r>
    </w:p>
    <w:p w14:paraId="179E34E3" w14:textId="5C22BD9A" w:rsidR="00405C9F" w:rsidRPr="00F74971" w:rsidRDefault="00405C9F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Студенти після засвоєння навчальної дисципліни мають продемонструвати такі результати навчання:</w:t>
      </w:r>
    </w:p>
    <w:p w14:paraId="2B5F9D5E" w14:textId="5D5F72B3" w:rsidR="00405C9F" w:rsidRPr="00F74971" w:rsidRDefault="00C95E25" w:rsidP="00356E13">
      <w:pPr>
        <w:tabs>
          <w:tab w:val="num" w:pos="0"/>
        </w:tabs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ЗНАННЯ</w:t>
      </w:r>
      <w:r w:rsidR="00405C9F" w:rsidRPr="00F74971">
        <w:rPr>
          <w:b/>
          <w:sz w:val="24"/>
          <w:szCs w:val="24"/>
        </w:rPr>
        <w:t>:</w:t>
      </w:r>
    </w:p>
    <w:p w14:paraId="1037FE75" w14:textId="32478CD5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Основних проблем і тенденцій розвитку права на справедливий суд</w:t>
      </w:r>
    </w:p>
    <w:p w14:paraId="4F2980DB" w14:textId="77777777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УМІННЯ</w:t>
      </w:r>
    </w:p>
    <w:p w14:paraId="06412DCD" w14:textId="31C022B5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Оцінювати природу та характер суспільних процесів і явищ, і виявляти розуміння меж та механізмів їх правового регулювання.</w:t>
      </w:r>
    </w:p>
    <w:p w14:paraId="0D86B597" w14:textId="33003FE3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Співвідносити сучасну систему цивілізаційних цінностей з правовими цінностями, принципами та професійними етичними стандартами</w:t>
      </w:r>
    </w:p>
    <w:p w14:paraId="03F12A77" w14:textId="2B9FC1E8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</w:t>
      </w:r>
    </w:p>
    <w:p w14:paraId="55F6CB14" w14:textId="2ADE9DFA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Обґрунтовано формулювати свою правову позицію, вміти опонувати, оцінювати докази та наводити переконливі аргументи.</w:t>
      </w:r>
    </w:p>
    <w:p w14:paraId="77D9B2C7" w14:textId="395F383E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lastRenderedPageBreak/>
        <w:t>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</w:t>
      </w:r>
    </w:p>
    <w:p w14:paraId="75AC6770" w14:textId="14FD73C0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Аналізувати та оцінювати практику застосування окремих правових інститутів</w:t>
      </w:r>
    </w:p>
    <w:p w14:paraId="72092A4C" w14:textId="5A4E3C54" w:rsidR="00C95E25" w:rsidRPr="00F74971" w:rsidRDefault="00C95E2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sz w:val="24"/>
          <w:szCs w:val="24"/>
        </w:rPr>
        <w:t>Обґрунтовувати правову позицію на різних стадіях правозастосування.</w:t>
      </w:r>
    </w:p>
    <w:p w14:paraId="64A89420" w14:textId="066D4979" w:rsidR="00C95E25" w:rsidRPr="00F74971" w:rsidRDefault="00C95E2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Мати практичні навички розв’язання проблем, пов’язаних з реалізацією процесуальних функцій суб’єктів правозастосування</w:t>
      </w:r>
    </w:p>
    <w:p w14:paraId="3F2FAABD" w14:textId="22B5F04D" w:rsidR="005111B5" w:rsidRPr="00F74971" w:rsidRDefault="005111B5" w:rsidP="002E4CC7">
      <w:pPr>
        <w:spacing w:line="240" w:lineRule="auto"/>
        <w:jc w:val="both"/>
        <w:rPr>
          <w:sz w:val="24"/>
          <w:szCs w:val="24"/>
        </w:rPr>
      </w:pPr>
    </w:p>
    <w:p w14:paraId="2FDB3CC0" w14:textId="764486BF" w:rsidR="005111B5" w:rsidRPr="00F74971" w:rsidRDefault="005111B5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C35BAC4" w14:textId="1848F24D" w:rsidR="00C95E25" w:rsidRDefault="00C95E25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  <w:lang w:val="ru-RU"/>
        </w:rPr>
        <w:t xml:space="preserve">Навчальний курс “Змагальний судовий процес” вивчається в магістратурі, </w:t>
      </w:r>
      <w:r w:rsidRPr="00F74971">
        <w:rPr>
          <w:sz w:val="24"/>
          <w:szCs w:val="24"/>
        </w:rPr>
        <w:t>після опанування дисциплін, передбачених навчальним планом підготовки бакалавра права, в т.ч. після опанування курсів процесуального (судового) права.</w:t>
      </w:r>
    </w:p>
    <w:p w14:paraId="41843FBA" w14:textId="77777777" w:rsidR="00356E13" w:rsidRPr="00F74971" w:rsidRDefault="00356E1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162A7A7A" w14:textId="75929446" w:rsidR="00AA6B23" w:rsidRPr="00F74971" w:rsidRDefault="00AA6B23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50CAE9F1" w14:textId="2000DB40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Тема 1. Принцип рівності сторін у судових процедурах</w:t>
      </w:r>
    </w:p>
    <w:p w14:paraId="137DA409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Рівність сторін як засада процесуального (судового права)</w:t>
      </w:r>
    </w:p>
    <w:p w14:paraId="560AACCF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72945C3C" w14:textId="027A04F9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Тема 2. Особливості доказування в змагальному судовому процесі</w:t>
      </w:r>
    </w:p>
    <w:p w14:paraId="40A35E3C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Обов’язок кожної сторони довести свою сторону справи</w:t>
      </w:r>
    </w:p>
    <w:p w14:paraId="56630820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Призначення експертиз і право спростувати висновок експерта</w:t>
      </w:r>
    </w:p>
    <w:p w14:paraId="303B95C8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78EDF18B" w14:textId="03E41543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Тема 3. Відступи від змагальності</w:t>
      </w:r>
    </w:p>
    <w:p w14:paraId="5B58642B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Покладення тягаря доказування на одну зі сторін справи</w:t>
      </w:r>
    </w:p>
    <w:p w14:paraId="6907BD6E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Презумпція невинуватості</w:t>
      </w:r>
    </w:p>
    <w:p w14:paraId="68FB0FCE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Прийняття рішень за відсутності іншої сторони</w:t>
      </w:r>
    </w:p>
    <w:p w14:paraId="029A52CB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Обов’язок прокурора розкривати також докази невинуватості</w:t>
      </w:r>
    </w:p>
    <w:p w14:paraId="7566DA02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05C67BA3" w14:textId="2FE88887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Тема 4. Право мати час і необхідні можливості для підготовки до захисту</w:t>
      </w:r>
    </w:p>
    <w:p w14:paraId="2A81DED4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Можливість збирання і подання доказів</w:t>
      </w:r>
    </w:p>
    <w:p w14:paraId="534E30D9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Час на ознайомлення з доказами ( в т.ч. щодо великих обсягів даних)</w:t>
      </w:r>
    </w:p>
    <w:p w14:paraId="79B4D9C2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Час на спілкування із захисником і вироблення позиції захисту</w:t>
      </w:r>
    </w:p>
    <w:p w14:paraId="2A12DB05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306905E4" w14:textId="18607FFA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Тема 5. Права сторін знати і коментувати всі докази протилежної сторони</w:t>
      </w:r>
    </w:p>
    <w:p w14:paraId="4813C2B6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Відкриття доказів іншій стороні</w:t>
      </w:r>
    </w:p>
    <w:p w14:paraId="39219383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Пред’явлення доказів у суді</w:t>
      </w:r>
    </w:p>
    <w:p w14:paraId="5824E8CC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Можливість коментувати всі докази </w:t>
      </w:r>
    </w:p>
    <w:p w14:paraId="1B03BCA5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7968B3F2" w14:textId="522D3EC8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 xml:space="preserve">Тема 6. Право допиту свідків </w:t>
      </w:r>
    </w:p>
    <w:p w14:paraId="40CC38FC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Свідки як автономне поняття в практиці ЄСПЛ</w:t>
      </w:r>
    </w:p>
    <w:p w14:paraId="75B2EEF0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Право на допит свідків (тест Муртазалієва)</w:t>
      </w:r>
    </w:p>
    <w:p w14:paraId="6C8573C2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Право на перехресний допит свідків (Тест Al-Khawadja)</w:t>
      </w:r>
    </w:p>
    <w:p w14:paraId="56B6BC02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Безпосередність допиту судом свідків </w:t>
      </w:r>
    </w:p>
    <w:p w14:paraId="3B576D2C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</w:p>
    <w:p w14:paraId="2403FFA9" w14:textId="2BED28B6" w:rsidR="003B2BE3" w:rsidRPr="00F74971" w:rsidRDefault="003B2BE3" w:rsidP="002E4CC7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 xml:space="preserve">Тема 7. Оцінка судом доказів </w:t>
      </w:r>
    </w:p>
    <w:p w14:paraId="4873C598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Належність доказів</w:t>
      </w:r>
    </w:p>
    <w:p w14:paraId="1C7031D6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Допустимість доказів</w:t>
      </w:r>
    </w:p>
    <w:p w14:paraId="17349B83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Достовірність доказів</w:t>
      </w:r>
    </w:p>
    <w:p w14:paraId="583EAFFA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Достатність доказів</w:t>
      </w:r>
    </w:p>
    <w:p w14:paraId="77F1FD48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Спеціальні методи розслідування</w:t>
      </w:r>
    </w:p>
    <w:p w14:paraId="198EAFD7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Заборона провокацій</w:t>
      </w:r>
    </w:p>
    <w:p w14:paraId="11FC882D" w14:textId="77777777" w:rsidR="003B2BE3" w:rsidRPr="00F74971" w:rsidRDefault="003B2BE3" w:rsidP="002E4CC7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Доктрина плодів отруйного дерева</w:t>
      </w:r>
    </w:p>
    <w:p w14:paraId="41FF712C" w14:textId="26C6F6EB" w:rsidR="00405C9F" w:rsidRPr="00F74971" w:rsidRDefault="00F21E4B" w:rsidP="002E4CC7">
      <w:pPr>
        <w:tabs>
          <w:tab w:val="left" w:pos="916"/>
        </w:tabs>
        <w:spacing w:line="240" w:lineRule="auto"/>
        <w:ind w:left="1440" w:hanging="873"/>
        <w:rPr>
          <w:sz w:val="24"/>
          <w:szCs w:val="24"/>
        </w:rPr>
      </w:pPr>
      <w:r w:rsidRPr="00F74971">
        <w:rPr>
          <w:sz w:val="24"/>
          <w:szCs w:val="24"/>
        </w:rPr>
        <w:tab/>
      </w:r>
      <w:r w:rsidRPr="00F74971">
        <w:rPr>
          <w:sz w:val="24"/>
          <w:szCs w:val="24"/>
        </w:rPr>
        <w:tab/>
      </w:r>
    </w:p>
    <w:p w14:paraId="3A076904" w14:textId="098D8E8D" w:rsidR="008B16FE" w:rsidRDefault="008B16FE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Навчальні матеріали та ресурси</w:t>
      </w:r>
    </w:p>
    <w:p w14:paraId="16A271BF" w14:textId="2B9E5C34" w:rsidR="00356E13" w:rsidRPr="00356E13" w:rsidRDefault="00356E13" w:rsidP="00356E13">
      <w:pPr>
        <w:ind w:firstLine="426"/>
        <w:rPr>
          <w:b/>
          <w:sz w:val="24"/>
          <w:szCs w:val="24"/>
        </w:rPr>
      </w:pPr>
      <w:r w:rsidRPr="00356E13">
        <w:rPr>
          <w:b/>
          <w:sz w:val="24"/>
          <w:szCs w:val="24"/>
        </w:rPr>
        <w:t>Базова:</w:t>
      </w:r>
    </w:p>
    <w:p w14:paraId="4F2E8883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  <w:shd w:val="clear" w:color="auto" w:fill="FFFFFF"/>
        </w:rPr>
        <w:lastRenderedPageBreak/>
        <w:t>Посібник зі статті 6 Європейської конвенції з прав людини. Право на справедливий суд (кримінально-процесуальний аспект). The </w:t>
      </w:r>
      <w:r w:rsidRPr="00F74971">
        <w:rPr>
          <w:rStyle w:val="afa"/>
          <w:sz w:val="24"/>
          <w:szCs w:val="24"/>
          <w:shd w:val="clear" w:color="auto" w:fill="FFFFFF"/>
        </w:rPr>
        <w:t>Case-law Guides by theme </w:t>
      </w:r>
      <w:r w:rsidRPr="00F74971">
        <w:rPr>
          <w:sz w:val="24"/>
          <w:szCs w:val="24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4737D98A" w14:textId="77777777" w:rsidR="00356E13" w:rsidRPr="00F74971" w:rsidRDefault="00356E13" w:rsidP="00356E13">
      <w:pPr>
        <w:tabs>
          <w:tab w:val="left" w:pos="72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hyperlink r:id="rId13" w:history="1">
        <w:r w:rsidRPr="00F74971">
          <w:rPr>
            <w:rStyle w:val="a5"/>
            <w:color w:val="auto"/>
            <w:sz w:val="24"/>
            <w:szCs w:val="24"/>
          </w:rPr>
          <w:t>https://www.echr.coe.int/Pages/home.aspx?p=caselaw/analysis/guides&amp;c=</w:t>
        </w:r>
      </w:hyperlink>
    </w:p>
    <w:p w14:paraId="44A155B4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  <w:shd w:val="clear" w:color="auto" w:fill="FFFFFF"/>
        </w:rPr>
        <w:t>Посібник зі статті 6. Право на справедливий суд (цивільна частина). The </w:t>
      </w:r>
      <w:r w:rsidRPr="00F74971">
        <w:rPr>
          <w:rStyle w:val="afa"/>
          <w:sz w:val="24"/>
          <w:szCs w:val="24"/>
          <w:shd w:val="clear" w:color="auto" w:fill="FFFFFF"/>
        </w:rPr>
        <w:t>Case-law Guides by theme </w:t>
      </w:r>
      <w:r w:rsidRPr="00F74971">
        <w:rPr>
          <w:sz w:val="24"/>
          <w:szCs w:val="24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7C61BAAC" w14:textId="77777777" w:rsidR="00356E13" w:rsidRPr="00F74971" w:rsidRDefault="00356E13" w:rsidP="00356E13">
      <w:pPr>
        <w:tabs>
          <w:tab w:val="left" w:pos="720"/>
        </w:tabs>
        <w:spacing w:line="240" w:lineRule="auto"/>
        <w:ind w:firstLine="426"/>
        <w:contextualSpacing/>
        <w:jc w:val="both"/>
        <w:rPr>
          <w:sz w:val="24"/>
          <w:szCs w:val="24"/>
          <w:u w:val="single"/>
        </w:rPr>
      </w:pPr>
      <w:hyperlink r:id="rId14" w:history="1">
        <w:r w:rsidRPr="00F74971">
          <w:rPr>
            <w:rStyle w:val="a5"/>
            <w:color w:val="auto"/>
            <w:sz w:val="24"/>
            <w:szCs w:val="24"/>
          </w:rPr>
          <w:t>https://www.echr.coe.int/Pages/home.aspx?p=caselaw/analysis/guides&amp;c=</w:t>
        </w:r>
      </w:hyperlink>
    </w:p>
    <w:p w14:paraId="4C4341FC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Дудаш Т.І. Практика Європейського суду з прав людини: навч. посібн. – К. : Алерта, 2016. – 413 с.</w:t>
      </w:r>
    </w:p>
    <w:p w14:paraId="4B4730CB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Фулей Т.І. Застосування практики Європейського суду з прав людини при здійсненні правосуддя: Науково-методичний посібник для суддів. – 2-ге вид. випр., допов. – К., 2015. – 208 с.</w:t>
      </w:r>
    </w:p>
    <w:p w14:paraId="0527CA32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Збірник витягів з рішень Європейського суду з прав людини,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посаді, 2018 р. Електронний ресурс: </w:t>
      </w:r>
      <w:hyperlink r:id="rId15" w:history="1">
        <w:r w:rsidRPr="00F74971">
          <w:rPr>
            <w:rStyle w:val="a5"/>
            <w:color w:val="auto"/>
            <w:sz w:val="24"/>
            <w:szCs w:val="24"/>
          </w:rPr>
          <w:t>http://www.nsj.gov.ua/files/15296531171517493988%D0%97%D0%B1%D1%96%D1%80%D0%BD%D0%B8%D0%BA%20%D1%80%D1%96%D1%88%D0%B5%D0%BD%D1%8C%20%D0%84%D0%A1%D0%9F%D0%9B_30.01.2018%20%D0%BD%D0%B0%20%D1%81%D0%B0%D0%B9%D1%82.pdf</w:t>
        </w:r>
      </w:hyperlink>
    </w:p>
    <w:p w14:paraId="62848999" w14:textId="77777777" w:rsidR="00356E13" w:rsidRPr="00F74971" w:rsidRDefault="00356E13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Юрисдикція Європейського Суду з прав людини: доктрина та практика / О. В. Базов ; Київ. нац. ун-т ім. Т. Шевченка, Ін-т міжнар. відносин. — Київ : Істина, 2017. — 422 с. — Бібліогр.: с. 399-421.</w:t>
      </w:r>
    </w:p>
    <w:p w14:paraId="119F9D95" w14:textId="77777777" w:rsidR="00356E13" w:rsidRPr="00F74971" w:rsidRDefault="00356E13" w:rsidP="00356E13">
      <w:pPr>
        <w:numPr>
          <w:ilvl w:val="0"/>
          <w:numId w:val="7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Абашидзе А.Х., Алисиевич Е.С. Право Совета Европы. Конвенция о защите прав человека и основных свобод: учебное пособие / А.Х. Абашидзе, Е.С. Алисиевич. – М.: Междунар. отношения, 2007. – 304 с.</w:t>
      </w:r>
    </w:p>
    <w:p w14:paraId="75441034" w14:textId="336D1F4B" w:rsidR="00356E13" w:rsidRPr="00356E13" w:rsidRDefault="00356E13" w:rsidP="00356E13">
      <w:pPr>
        <w:ind w:firstLine="426"/>
        <w:rPr>
          <w:sz w:val="24"/>
          <w:szCs w:val="24"/>
        </w:rPr>
      </w:pPr>
    </w:p>
    <w:p w14:paraId="47818B12" w14:textId="74FF3AE3" w:rsidR="00356E13" w:rsidRPr="00356E13" w:rsidRDefault="00356E13" w:rsidP="00356E13">
      <w:pPr>
        <w:ind w:firstLine="426"/>
        <w:rPr>
          <w:sz w:val="24"/>
          <w:szCs w:val="24"/>
        </w:rPr>
      </w:pPr>
      <w:r w:rsidRPr="00356E13">
        <w:rPr>
          <w:sz w:val="24"/>
          <w:szCs w:val="24"/>
        </w:rPr>
        <w:t>Допоміжна:</w:t>
      </w:r>
    </w:p>
    <w:p w14:paraId="3EF0522A" w14:textId="77777777" w:rsidR="004D7807" w:rsidRPr="00F74971" w:rsidRDefault="004D7807" w:rsidP="00356E13">
      <w:pPr>
        <w:numPr>
          <w:ilvl w:val="0"/>
          <w:numId w:val="7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Андріанов К.В. Роль контрольного механізму Конвенції про захист прав і основних свобод людини в процесі реалізації її норм: дис… канд. юрид. наук / К.В. Андріанов. – К., 2002. – 185 с.</w:t>
      </w:r>
    </w:p>
    <w:p w14:paraId="248CEDAD" w14:textId="77777777" w:rsidR="004D7807" w:rsidRPr="00F74971" w:rsidRDefault="004D7807" w:rsidP="00356E13">
      <w:pPr>
        <w:numPr>
          <w:ilvl w:val="0"/>
          <w:numId w:val="7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iCs/>
          <w:sz w:val="24"/>
          <w:szCs w:val="24"/>
        </w:rPr>
        <w:t>Буроменский М.В.</w:t>
      </w:r>
      <w:r w:rsidRPr="00F74971">
        <w:rPr>
          <w:sz w:val="24"/>
          <w:szCs w:val="24"/>
        </w:rPr>
        <w:t xml:space="preserve"> Обращение в Европейский суд по правам человека: практика Суда и особенности украинского законодательства / М. Буроменский. – Харьков: Фолио, 2000. – 32 с.</w:t>
      </w:r>
    </w:p>
    <w:p w14:paraId="4D86C636" w14:textId="77777777" w:rsidR="004D7807" w:rsidRPr="00F74971" w:rsidRDefault="004D7807" w:rsidP="00356E13">
      <w:pPr>
        <w:numPr>
          <w:ilvl w:val="0"/>
          <w:numId w:val="7"/>
        </w:numPr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Де Сальвиа М. Прецеденты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практика с 1960 по 2002 г. / М. Де Сальвиа. – СПб.: Юридический центр Пресс, 2004. – 1072 с. </w:t>
      </w:r>
    </w:p>
    <w:p w14:paraId="466EE094" w14:textId="77777777" w:rsidR="004D7807" w:rsidRPr="00F74971" w:rsidRDefault="004D7807" w:rsidP="00356E13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Дженніс М., Кей Р., Бредлі Е. Європейське право у галузі прав людини: Джерела і практика застосування / М. Дженніс, Р. Кей, Е. Бредлі. – К.: АртЕк, 1997. – 583с.</w:t>
      </w:r>
    </w:p>
    <w:p w14:paraId="26AA7B3D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Караман І.В. Звернення до Європейського суду з прав людини : практ. довідник / Ігор Караман ; Вища шк. адвокатури Нац. асоціації адвокатів України. — Київ : Фенікс, 2016. — 335 с. </w:t>
      </w:r>
    </w:p>
    <w:p w14:paraId="75469518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Кучинська О. П., Фулей Т. І., Бараннік Р. В.  Принципи кримінального провадження у світлі практики Європейського суду з прав людини : монографія / О. П. Кучинська, Т. І. Фулей, Р. В. Бараннік. – Ніжин : ТОВ “Видавництво “Аспект- Поліграф”, 2013. – 228 с.</w:t>
      </w:r>
    </w:p>
    <w:p w14:paraId="2FD2B3EE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Севостьянова Н., Звернення до Європейського суду з прав людини як реалізація права на правосуддя. </w:t>
      </w:r>
      <w:r w:rsidRPr="00F74971">
        <w:rPr>
          <w:sz w:val="24"/>
          <w:szCs w:val="24"/>
          <w:lang w:val="ru-RU"/>
        </w:rPr>
        <w:t>Монографія. 2012, 216 с.</w:t>
      </w:r>
    </w:p>
    <w:p w14:paraId="414D6ED4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Уваров, В. Г., Застосування практики Европейського Суду з прав людини та норм міжнародно-правових актів в удосконаленні кримінального судочинства України: Монографія. За заг. ред.Тертишника, В.М., Дніпро, 2012.</w:t>
      </w:r>
    </w:p>
    <w:p w14:paraId="52A18BCA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Шевчук С. Судовий захист прав людини. Практика Європейського суду з прав людини у контексті західної правової традиції / С. Шевчук. – К.: Реферат, 2006. – 829 с.</w:t>
      </w:r>
    </w:p>
    <w:p w14:paraId="1A7C96E2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Вибрані рішення Європейського суду з прав людини: в 2-х т.. – К.: Фенікс, 2006. </w:t>
      </w:r>
    </w:p>
    <w:p w14:paraId="38B50F0E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 xml:space="preserve">Вибрані справи Європейського суду з прав людини. – К.: Фенікс, 2003. – Вип. І. – 288 с. </w:t>
      </w:r>
    </w:p>
    <w:p w14:paraId="150F5358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Вибрані справи Європейського суду з прав людини. Випуск ІІ. – К.: Фенікс, 2004. – 273 с.</w:t>
      </w:r>
    </w:p>
    <w:p w14:paraId="07FD26D9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Европейский Суд по правам человека. Избранные решения: в 2 т. – М.: НОРМА, 2000. – Т.1 / председатель ред. коллегии – д. ю. н., проф. В.А. Туманов. – 856 с.</w:t>
      </w:r>
    </w:p>
    <w:p w14:paraId="15C7F813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lastRenderedPageBreak/>
        <w:t>Европейский Суд по правам человека. Избранные решения: в 2 т. – М.: НОРМА, 2000. – Т. 2 / председатель ред. коллегии – д. ю. н., проф. В.А.Туманов. – 808 с.</w:t>
      </w:r>
    </w:p>
    <w:p w14:paraId="3384AEF2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Кримінальний процесуальний кодекс України з постатейними матеріалами практики Європейського суду з прав людини / за ред. А. В. Столітнього ; [уклад.: А. В. Столітній та ін.]. — 2-ге вид., перероб. та допов. — Харків : Право, 2019. </w:t>
      </w:r>
    </w:p>
    <w:p w14:paraId="04383CAE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Провокація вчинення злочину: практика Європейського суду з прав людини та національних судів : наук.-практ. посіб. : [для студентів, аспірантів, викладачів закл. вищої освіти, науковців, працівників прокуратури та ін. правоохорон. органів / О. З. Гладун та ін.] ; Ген. прокуратура України, Нац. акад. прокуратури України. — Київ : Національна академія прокуратури України, 2019. — 117 с. </w:t>
      </w:r>
    </w:p>
    <w:p w14:paraId="7C7C8C9D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Прецедентне право Європейського суду з прав людини щодо захисту прав уразливих верств населення : навч. посіб. / О. О. Гайдулін, В. Ю. Худолей, І. М. Шаркова ; М-во освіти і науки України. — Харків : Лисенко І. Б. : Голембовська О. О., 2019. — 298 с.</w:t>
      </w:r>
    </w:p>
    <w:p w14:paraId="512B6616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Право на ефективний засіб юридичного захисту у кримінальному провадженні: практика Європейського суду з прав людини та законодавство України / Ген. прокуратура України, Нац. акад. прокуратури України ; за ред. Ю. Г. Севрука, А. В. Столітнього ; [уклад. Ю. Г. Севрука та ін.]. — Київ : Національна академія прокуратури України, 2019. — 389 с.</w:t>
      </w:r>
    </w:p>
    <w:p w14:paraId="08F827FF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Практика застосування Європейської Конвенції про захист прав людини і основоположних свобод: стаття 6 та стаття 1 Першого Протоколу : практ. посіб. : [витяг із рішень Європейського суду з прав людини] / [уклад.: В. Я. Погребняк, С. О. Кравцов]. — Харків : Право, 2018. — 195 с.</w:t>
      </w:r>
    </w:p>
    <w:p w14:paraId="3323187C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Тлумачення та застосування Конвенції про захист прав людини і основоположних свобод Європейським судом з прав людини та судами України: навчальний посібник / авт. кол. М. Мазур, С. Тагієв, А. Беніцький, В. Кострицький. – Луганськ, 2006. – 600 с.</w:t>
      </w:r>
    </w:p>
    <w:p w14:paraId="646F2563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Harris, O'Boyle, and Warbrick, Law of the European Convention on Human Rights, 2018.</w:t>
      </w:r>
    </w:p>
    <w:p w14:paraId="16FA26BA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Philip Leach, Taking a Case to the European Court of Human Rights Paperback – Student Edition, 2017</w:t>
      </w:r>
    </w:p>
    <w:p w14:paraId="15AC664B" w14:textId="77777777" w:rsidR="004D7807" w:rsidRPr="00F74971" w:rsidRDefault="004D7807" w:rsidP="00356E13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William A. Schabas, The European Convention on Human Rights: A Commentary (Oxford Commentaries on International Law), 2017.</w:t>
      </w:r>
    </w:p>
    <w:p w14:paraId="54B9C39B" w14:textId="77777777" w:rsidR="00F66D1F" w:rsidRPr="00F74971" w:rsidRDefault="00F66D1F" w:rsidP="002E4CC7">
      <w:pPr>
        <w:shd w:val="clear" w:color="auto" w:fill="FFFFFF"/>
        <w:tabs>
          <w:tab w:val="left" w:pos="365"/>
          <w:tab w:val="left" w:pos="567"/>
        </w:tabs>
        <w:spacing w:line="240" w:lineRule="auto"/>
        <w:jc w:val="both"/>
        <w:rPr>
          <w:sz w:val="24"/>
          <w:szCs w:val="24"/>
        </w:rPr>
      </w:pPr>
    </w:p>
    <w:p w14:paraId="39401923" w14:textId="0A523C89" w:rsidR="00AA6B23" w:rsidRPr="00F74971" w:rsidRDefault="00AA6B23" w:rsidP="002E4CC7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Навчальний контент</w:t>
      </w:r>
    </w:p>
    <w:p w14:paraId="4B9C41FF" w14:textId="66E57C2A" w:rsidR="004A6336" w:rsidRPr="00F74971" w:rsidRDefault="00791855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Методика</w:t>
      </w:r>
      <w:r w:rsidR="00F51B26" w:rsidRPr="00F74971">
        <w:rPr>
          <w:rFonts w:ascii="Times New Roman" w:hAnsi="Times New Roman"/>
          <w:color w:val="auto"/>
        </w:rPr>
        <w:t xml:space="preserve"> опанування </w:t>
      </w:r>
      <w:r w:rsidR="00AA6B23" w:rsidRPr="00F74971">
        <w:rPr>
          <w:rFonts w:ascii="Times New Roman" w:hAnsi="Times New Roman"/>
          <w:color w:val="auto"/>
        </w:rPr>
        <w:t xml:space="preserve">навчальної </w:t>
      </w:r>
      <w:r w:rsidR="004A6336" w:rsidRPr="00F74971">
        <w:rPr>
          <w:rFonts w:ascii="Times New Roman" w:hAnsi="Times New Roman"/>
          <w:color w:val="auto"/>
        </w:rPr>
        <w:t>дисципліни</w:t>
      </w:r>
      <w:r w:rsidR="004D1575" w:rsidRPr="00F74971">
        <w:rPr>
          <w:rFonts w:ascii="Times New Roman" w:hAnsi="Times New Roman"/>
          <w:color w:val="auto"/>
        </w:rPr>
        <w:t xml:space="preserve"> </w:t>
      </w:r>
      <w:r w:rsidR="00087AFC" w:rsidRPr="00F74971">
        <w:rPr>
          <w:rFonts w:ascii="Times New Roman" w:hAnsi="Times New Roman"/>
          <w:color w:val="auto"/>
        </w:rPr>
        <w:t>(освітнього компонента)</w:t>
      </w:r>
    </w:p>
    <w:p w14:paraId="2813B7CF" w14:textId="177F38D9" w:rsidR="00CE2205" w:rsidRPr="00F74971" w:rsidRDefault="008175C6" w:rsidP="00356E13">
      <w:pPr>
        <w:spacing w:line="240" w:lineRule="auto"/>
        <w:ind w:firstLine="426"/>
        <w:rPr>
          <w:sz w:val="24"/>
          <w:szCs w:val="24"/>
        </w:rPr>
      </w:pPr>
      <w:r w:rsidRPr="00F74971">
        <w:rPr>
          <w:b/>
          <w:sz w:val="24"/>
          <w:szCs w:val="24"/>
        </w:rPr>
        <w:t>Лекції</w:t>
      </w:r>
      <w:r w:rsidRPr="00F74971">
        <w:rPr>
          <w:sz w:val="24"/>
          <w:szCs w:val="24"/>
        </w:rPr>
        <w:t xml:space="preserve"> проводяться </w:t>
      </w:r>
      <w:r w:rsidR="00E07455" w:rsidRPr="00F74971">
        <w:rPr>
          <w:sz w:val="24"/>
          <w:szCs w:val="24"/>
        </w:rPr>
        <w:t xml:space="preserve">із застосуванням </w:t>
      </w:r>
      <w:r w:rsidRPr="00F74971">
        <w:rPr>
          <w:sz w:val="24"/>
          <w:szCs w:val="24"/>
        </w:rPr>
        <w:t>презентацій.</w:t>
      </w:r>
      <w:r w:rsidR="00E07455" w:rsidRPr="00F74971">
        <w:rPr>
          <w:sz w:val="24"/>
          <w:szCs w:val="24"/>
        </w:rPr>
        <w:t xml:space="preserve"> Лекції можуть проводитись із частковим застосуванням методу професійної дискусії. У такому випадку студентам можуть завчасно надаватися матеріали для попереднього опрацювання для подальшого обговорення (професійної дискусії) під час лекції. </w:t>
      </w:r>
      <w:r w:rsidR="00252850" w:rsidRPr="00F74971">
        <w:rPr>
          <w:sz w:val="24"/>
          <w:szCs w:val="24"/>
        </w:rPr>
        <w:t>Студенти закликаються для активної участі в обговоренні, порушенні питань, що виникають</w:t>
      </w:r>
      <w:r w:rsidR="00307FF7" w:rsidRPr="00F74971">
        <w:rPr>
          <w:sz w:val="24"/>
          <w:szCs w:val="24"/>
        </w:rPr>
        <w:t xml:space="preserve"> під час вивчення курсу</w:t>
      </w:r>
      <w:r w:rsidR="00252850" w:rsidRPr="00F74971">
        <w:rPr>
          <w:sz w:val="24"/>
          <w:szCs w:val="24"/>
        </w:rPr>
        <w:t>, перед викладачем та іншими студентами.</w:t>
      </w:r>
    </w:p>
    <w:p w14:paraId="19CAF998" w14:textId="67A5C0FA" w:rsidR="008175C6" w:rsidRPr="00F74971" w:rsidRDefault="00CE2205" w:rsidP="00356E13">
      <w:pPr>
        <w:spacing w:line="240" w:lineRule="auto"/>
        <w:ind w:firstLine="426"/>
        <w:rPr>
          <w:sz w:val="24"/>
          <w:szCs w:val="24"/>
        </w:rPr>
      </w:pPr>
      <w:r w:rsidRPr="00F74971">
        <w:rPr>
          <w:b/>
          <w:sz w:val="24"/>
          <w:szCs w:val="24"/>
        </w:rPr>
        <w:t>Практичні (с</w:t>
      </w:r>
      <w:r w:rsidR="008175C6" w:rsidRPr="00F74971">
        <w:rPr>
          <w:b/>
          <w:sz w:val="24"/>
          <w:szCs w:val="24"/>
        </w:rPr>
        <w:t>емінарські</w:t>
      </w:r>
      <w:r w:rsidRPr="00F74971">
        <w:rPr>
          <w:b/>
          <w:sz w:val="24"/>
          <w:szCs w:val="24"/>
        </w:rPr>
        <w:t>)</w:t>
      </w:r>
      <w:r w:rsidR="008175C6" w:rsidRPr="00F74971">
        <w:rPr>
          <w:b/>
          <w:sz w:val="24"/>
          <w:szCs w:val="24"/>
        </w:rPr>
        <w:t xml:space="preserve"> заняття</w:t>
      </w:r>
      <w:r w:rsidR="008175C6" w:rsidRPr="00F74971">
        <w:rPr>
          <w:sz w:val="24"/>
          <w:szCs w:val="24"/>
        </w:rPr>
        <w:t xml:space="preserve"> проводяться у формі </w:t>
      </w:r>
      <w:r w:rsidR="00F74971">
        <w:rPr>
          <w:sz w:val="24"/>
          <w:szCs w:val="24"/>
        </w:rPr>
        <w:t>навчального</w:t>
      </w:r>
      <w:r w:rsidR="003B2BE3" w:rsidRPr="00F74971">
        <w:rPr>
          <w:sz w:val="24"/>
          <w:szCs w:val="24"/>
        </w:rPr>
        <w:t xml:space="preserve"> судового процесу</w:t>
      </w:r>
      <w:r w:rsidR="008175C6" w:rsidRPr="00F74971">
        <w:rPr>
          <w:sz w:val="24"/>
          <w:szCs w:val="24"/>
        </w:rPr>
        <w:t xml:space="preserve">, </w:t>
      </w:r>
      <w:r w:rsidR="003B2BE3" w:rsidRPr="00F74971">
        <w:rPr>
          <w:sz w:val="24"/>
          <w:szCs w:val="24"/>
        </w:rPr>
        <w:t xml:space="preserve">під час якої студенти діляться на групи і відповідно до визначених ролей </w:t>
      </w:r>
      <w:r w:rsidRPr="00F74971">
        <w:rPr>
          <w:sz w:val="24"/>
          <w:szCs w:val="24"/>
        </w:rPr>
        <w:t xml:space="preserve">та фабули (опису) навчальної справи </w:t>
      </w:r>
      <w:r w:rsidR="00F74971">
        <w:rPr>
          <w:sz w:val="24"/>
          <w:szCs w:val="24"/>
        </w:rPr>
        <w:t xml:space="preserve">(кейсу) </w:t>
      </w:r>
      <w:r w:rsidRPr="00F74971">
        <w:rPr>
          <w:sz w:val="24"/>
          <w:szCs w:val="24"/>
        </w:rPr>
        <w:t>виступають у</w:t>
      </w:r>
      <w:r w:rsidR="00F74971">
        <w:rPr>
          <w:sz w:val="24"/>
          <w:szCs w:val="24"/>
        </w:rPr>
        <w:t xml:space="preserve"> навчальному</w:t>
      </w:r>
      <w:r w:rsidRPr="00F74971">
        <w:rPr>
          <w:sz w:val="24"/>
          <w:szCs w:val="24"/>
        </w:rPr>
        <w:t xml:space="preserve"> судовому засіданні. Після засідання проводиться обговорення результатів</w:t>
      </w:r>
      <w:r w:rsidR="008175C6" w:rsidRPr="00F74971">
        <w:rPr>
          <w:sz w:val="24"/>
          <w:szCs w:val="24"/>
        </w:rPr>
        <w:t>.</w:t>
      </w:r>
    </w:p>
    <w:p w14:paraId="06B49C9A" w14:textId="5C78E7AC" w:rsidR="00CE2205" w:rsidRPr="00F74971" w:rsidRDefault="00CE2205" w:rsidP="00356E13">
      <w:pPr>
        <w:spacing w:line="240" w:lineRule="auto"/>
        <w:ind w:firstLine="426"/>
        <w:rPr>
          <w:sz w:val="24"/>
          <w:szCs w:val="24"/>
        </w:rPr>
      </w:pPr>
      <w:r w:rsidRPr="00F74971">
        <w:rPr>
          <w:b/>
          <w:sz w:val="24"/>
          <w:szCs w:val="24"/>
        </w:rPr>
        <w:t>Самостійна робота студентів –</w:t>
      </w:r>
      <w:r w:rsidRPr="00F74971">
        <w:rPr>
          <w:sz w:val="24"/>
          <w:szCs w:val="24"/>
        </w:rPr>
        <w:t xml:space="preserve"> є важливою частиною курсу, під час якої студенти відповідно до визначених ролей та фабули (опису) навчальної справи</w:t>
      </w:r>
      <w:r w:rsidR="00F74971">
        <w:rPr>
          <w:sz w:val="24"/>
          <w:szCs w:val="24"/>
        </w:rPr>
        <w:t xml:space="preserve"> (кейсу)</w:t>
      </w:r>
      <w:r w:rsidRPr="00F74971">
        <w:rPr>
          <w:sz w:val="24"/>
          <w:szCs w:val="24"/>
        </w:rPr>
        <w:t xml:space="preserve"> готуються до судового засідання та/або складають процесуальні документи. </w:t>
      </w:r>
    </w:p>
    <w:p w14:paraId="28ED610C" w14:textId="77777777" w:rsidR="00CE2205" w:rsidRPr="00F74971" w:rsidRDefault="00CE2205" w:rsidP="002E4CC7">
      <w:pPr>
        <w:spacing w:line="240" w:lineRule="auto"/>
        <w:jc w:val="center"/>
        <w:rPr>
          <w:sz w:val="24"/>
          <w:szCs w:val="24"/>
        </w:rPr>
      </w:pPr>
    </w:p>
    <w:p w14:paraId="791886A6" w14:textId="3B9CB370" w:rsidR="00F95D78" w:rsidRPr="00F74971" w:rsidRDefault="00EB4F56" w:rsidP="002E4CC7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Політика та контроль</w:t>
      </w:r>
    </w:p>
    <w:p w14:paraId="11F60A99" w14:textId="1BC6AA00" w:rsidR="004A6336" w:rsidRPr="00F74971" w:rsidRDefault="00F51B26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>П</w:t>
      </w:r>
      <w:r w:rsidR="004A6336" w:rsidRPr="00F74971">
        <w:rPr>
          <w:rFonts w:ascii="Times New Roman" w:hAnsi="Times New Roman"/>
          <w:color w:val="auto"/>
        </w:rPr>
        <w:t>олітика навчальної дисципліни</w:t>
      </w:r>
      <w:r w:rsidR="00087AFC" w:rsidRPr="00F74971">
        <w:rPr>
          <w:rFonts w:ascii="Times New Roman" w:hAnsi="Times New Roman"/>
          <w:color w:val="auto"/>
        </w:rPr>
        <w:t xml:space="preserve"> (освітнього компонента)</w:t>
      </w:r>
    </w:p>
    <w:p w14:paraId="255DB1DE" w14:textId="22D10D19" w:rsidR="001F542A" w:rsidRPr="00F74971" w:rsidRDefault="001F542A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Відвідування лекцій та семінарських</w:t>
      </w:r>
      <w:r w:rsidRPr="00F74971">
        <w:rPr>
          <w:sz w:val="24"/>
          <w:szCs w:val="24"/>
        </w:rPr>
        <w:t xml:space="preserve"> занять є обов’язковим.</w:t>
      </w:r>
    </w:p>
    <w:p w14:paraId="48F030A7" w14:textId="6D730FAB" w:rsidR="001F542A" w:rsidRPr="00F74971" w:rsidRDefault="001F542A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Правила поведінки на заняттях:</w:t>
      </w:r>
      <w:r w:rsidRPr="00F74971">
        <w:rPr>
          <w:sz w:val="24"/>
          <w:szCs w:val="24"/>
        </w:rPr>
        <w:t xml:space="preserve"> активність, високий рівень підготовки та дисципліна. На семінарських заняттях можна користуватись технічними засобами, мобільними телефонами, ноутбуками при опрацюванні нормативно-правових актів. </w:t>
      </w:r>
      <w:r w:rsidR="003555EA" w:rsidRPr="00F74971">
        <w:rPr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167D64E6" w14:textId="0193F278" w:rsidR="001F542A" w:rsidRPr="00F74971" w:rsidRDefault="001F542A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Перездати пропущене семінарське заняття</w:t>
      </w:r>
      <w:r w:rsidRPr="00F74971">
        <w:rPr>
          <w:sz w:val="24"/>
          <w:szCs w:val="24"/>
        </w:rPr>
        <w:t xml:space="preserve"> рекомендується максимум через пару, так як освоєння подальшого матеріалу пов’язане з розумінням попередніх тем. </w:t>
      </w:r>
    </w:p>
    <w:p w14:paraId="23C98537" w14:textId="22437F5F" w:rsidR="001F542A" w:rsidRPr="00F74971" w:rsidRDefault="001F542A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lastRenderedPageBreak/>
        <w:t>Штрафні бали</w:t>
      </w:r>
      <w:r w:rsidRPr="00F74971">
        <w:rPr>
          <w:sz w:val="24"/>
          <w:szCs w:val="24"/>
        </w:rPr>
        <w:t xml:space="preserve"> передбачені за перездачу семінарського заняття (більше ніж через 2 тижня після пропущеного семінарського заняття). Штрафний бал: - 1 бал.</w:t>
      </w:r>
    </w:p>
    <w:p w14:paraId="63947776" w14:textId="324D2740" w:rsidR="001F542A" w:rsidRPr="00F74971" w:rsidRDefault="001F542A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Перездати пропущений кейс</w:t>
      </w:r>
      <w:r w:rsidR="00D00E22" w:rsidRPr="00F74971">
        <w:rPr>
          <w:sz w:val="24"/>
          <w:szCs w:val="24"/>
        </w:rPr>
        <w:t xml:space="preserve"> рекомендується максимум через пару, так як освоєння подальшого матеріалу пов’язане з розумінням попередніх кейсів. </w:t>
      </w:r>
    </w:p>
    <w:p w14:paraId="6E750167" w14:textId="2EB2D178" w:rsidR="008175C6" w:rsidRPr="00F74971" w:rsidRDefault="008175C6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Штрафні бали</w:t>
      </w:r>
      <w:r w:rsidRPr="00F74971">
        <w:rPr>
          <w:sz w:val="24"/>
          <w:szCs w:val="24"/>
        </w:rPr>
        <w:t xml:space="preserve"> передбачені за здачу кейсового завдання пізніше встановленого строку. Штрафний бал: - 1 бал.</w:t>
      </w:r>
    </w:p>
    <w:p w14:paraId="22D099F8" w14:textId="2B4F80C8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 xml:space="preserve">Буде вимагатись активна участь студента на практичних заняттях. </w:t>
      </w:r>
      <w:r w:rsidRPr="00F74971">
        <w:rPr>
          <w:sz w:val="24"/>
          <w:szCs w:val="24"/>
        </w:rPr>
        <w:t xml:space="preserve">Рейтинг студента значною мірою формуватиметься за результатами його роботи на практичних (семінарських) заняттях. </w:t>
      </w:r>
    </w:p>
    <w:p w14:paraId="37AF8634" w14:textId="240C3EF1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356E13">
        <w:rPr>
          <w:sz w:val="24"/>
          <w:szCs w:val="24"/>
        </w:rPr>
        <w:t>Студенти, які пропустили практичні заняття, можуть не допустити зниження підсумкового рейтингу, своєчасно (протягом семестру) опрацювавши відповідні теми і виконавши завдання, передбачені для пропущених занять.</w:t>
      </w:r>
      <w:r w:rsidRPr="00F74971">
        <w:rPr>
          <w:sz w:val="24"/>
          <w:szCs w:val="24"/>
        </w:rPr>
        <w:t xml:space="preserve"> </w:t>
      </w:r>
    </w:p>
    <w:p w14:paraId="63BC3AD3" w14:textId="04D76591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На лекціях т</w:t>
      </w:r>
      <w:r w:rsidR="0049788D" w:rsidRPr="00F74971">
        <w:rPr>
          <w:b/>
          <w:sz w:val="24"/>
          <w:szCs w:val="24"/>
        </w:rPr>
        <w:t>а практичних заняттях</w:t>
      </w:r>
      <w:r w:rsidRPr="00F74971">
        <w:rPr>
          <w:sz w:val="24"/>
          <w:szCs w:val="24"/>
        </w:rPr>
        <w:t xml:space="preserve"> використ</w:t>
      </w:r>
      <w:r w:rsidR="0049788D" w:rsidRPr="00F74971">
        <w:rPr>
          <w:sz w:val="24"/>
          <w:szCs w:val="24"/>
        </w:rPr>
        <w:t xml:space="preserve">ання ноутбуків, смартфонів дозволяється </w:t>
      </w:r>
      <w:r w:rsidRPr="00F74971">
        <w:rPr>
          <w:sz w:val="24"/>
          <w:szCs w:val="24"/>
        </w:rPr>
        <w:t xml:space="preserve">лише для цілей, </w:t>
      </w:r>
      <w:r w:rsidR="0049788D" w:rsidRPr="00F74971">
        <w:rPr>
          <w:sz w:val="24"/>
          <w:szCs w:val="24"/>
        </w:rPr>
        <w:t xml:space="preserve">необхідних для забезпечення навчального процесу. </w:t>
      </w:r>
    </w:p>
    <w:p w14:paraId="4729AADC" w14:textId="77777777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Студент на практичному занятті може використовувати</w:t>
      </w:r>
      <w:r w:rsidRPr="00F74971">
        <w:rPr>
          <w:sz w:val="24"/>
          <w:szCs w:val="24"/>
        </w:rPr>
        <w:t xml:space="preserve"> підготовлені ним письмові нотатки з питань теми заняття (або передбачених завданням), однак висловлювати позицію, читаючи з аркуша паперу не варто. Це також характеризує рівень підготовки студента не з кращого боку.</w:t>
      </w:r>
    </w:p>
    <w:p w14:paraId="1D1AA8F6" w14:textId="4CD0B7A8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Політика та принципи академічної доброчесності</w:t>
      </w:r>
      <w:r w:rsidRPr="00F74971">
        <w:rPr>
          <w:sz w:val="24"/>
          <w:szCs w:val="24"/>
        </w:rPr>
        <w:t xml:space="preserve">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31DF2FE9" w14:textId="36D9E265" w:rsidR="004A6336" w:rsidRPr="00F74971" w:rsidRDefault="004A6336" w:rsidP="002E4CC7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F74971">
        <w:rPr>
          <w:rFonts w:ascii="Times New Roman" w:hAnsi="Times New Roman"/>
          <w:color w:val="auto"/>
        </w:rPr>
        <w:t xml:space="preserve">Види контролю та </w:t>
      </w:r>
      <w:r w:rsidR="00B40317" w:rsidRPr="00F74971">
        <w:rPr>
          <w:rFonts w:ascii="Times New Roman" w:hAnsi="Times New Roman"/>
          <w:color w:val="auto"/>
        </w:rPr>
        <w:t xml:space="preserve">рейтингова система </w:t>
      </w:r>
      <w:r w:rsidRPr="00F74971">
        <w:rPr>
          <w:rFonts w:ascii="Times New Roman" w:hAnsi="Times New Roman"/>
          <w:color w:val="auto"/>
        </w:rPr>
        <w:t>оцін</w:t>
      </w:r>
      <w:r w:rsidR="00B40317" w:rsidRPr="00F74971">
        <w:rPr>
          <w:rFonts w:ascii="Times New Roman" w:hAnsi="Times New Roman"/>
          <w:color w:val="auto"/>
        </w:rPr>
        <w:t xml:space="preserve">ювання </w:t>
      </w:r>
      <w:r w:rsidRPr="00F74971">
        <w:rPr>
          <w:rFonts w:ascii="Times New Roman" w:hAnsi="Times New Roman"/>
          <w:color w:val="auto"/>
        </w:rPr>
        <w:t>результатів навчання</w:t>
      </w:r>
      <w:r w:rsidR="00B40317" w:rsidRPr="00F74971">
        <w:rPr>
          <w:rFonts w:ascii="Times New Roman" w:hAnsi="Times New Roman"/>
          <w:color w:val="auto"/>
        </w:rPr>
        <w:t xml:space="preserve"> (РСО)</w:t>
      </w:r>
    </w:p>
    <w:p w14:paraId="61F94018" w14:textId="2410C663" w:rsidR="008B4DE6" w:rsidRPr="00F74971" w:rsidRDefault="00B40317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Календарний контроль</w:t>
      </w:r>
      <w:r w:rsidR="004A6336" w:rsidRPr="00F74971">
        <w:rPr>
          <w:b/>
          <w:sz w:val="24"/>
          <w:szCs w:val="24"/>
        </w:rPr>
        <w:t>:</w:t>
      </w:r>
      <w:r w:rsidRPr="00F74971">
        <w:rPr>
          <w:i/>
          <w:sz w:val="24"/>
          <w:szCs w:val="24"/>
        </w:rPr>
        <w:t xml:space="preserve"> </w:t>
      </w:r>
      <w:r w:rsidRPr="00F74971">
        <w:rPr>
          <w:sz w:val="24"/>
          <w:szCs w:val="24"/>
        </w:rPr>
        <w:t>провадиться двічі на семестр як моніторинг поточного стану виконання вимог силабусу.</w:t>
      </w:r>
      <w:r w:rsidR="0030530B" w:rsidRPr="00F74971">
        <w:rPr>
          <w:sz w:val="24"/>
          <w:szCs w:val="24"/>
          <w:lang w:val="ru-RU"/>
        </w:rPr>
        <w:t xml:space="preserve"> </w:t>
      </w:r>
    </w:p>
    <w:p w14:paraId="1F55DFA1" w14:textId="206BA53C" w:rsidR="003555EA" w:rsidRPr="00F74971" w:rsidRDefault="000D1F73" w:rsidP="00356E13">
      <w:pPr>
        <w:pStyle w:val="a0"/>
        <w:spacing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F74971">
        <w:rPr>
          <w:b/>
          <w:sz w:val="24"/>
          <w:szCs w:val="24"/>
        </w:rPr>
        <w:t>Семестровий контроль:</w:t>
      </w:r>
      <w:r w:rsidRPr="00F74971">
        <w:rPr>
          <w:sz w:val="24"/>
          <w:szCs w:val="24"/>
        </w:rPr>
        <w:t xml:space="preserve"> </w:t>
      </w:r>
      <w:r w:rsidR="0054477B" w:rsidRPr="00F74971">
        <w:rPr>
          <w:sz w:val="24"/>
          <w:szCs w:val="24"/>
        </w:rPr>
        <w:t>залік.</w:t>
      </w:r>
    </w:p>
    <w:p w14:paraId="5CAEB2FB" w14:textId="500C8F22" w:rsidR="005111B5" w:rsidRPr="00F74971" w:rsidRDefault="005111B5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Оцінювання та контрольні заходи.</w:t>
      </w:r>
    </w:p>
    <w:p w14:paraId="1201B0D8" w14:textId="7D777886" w:rsidR="005111B5" w:rsidRPr="00F74971" w:rsidRDefault="005111B5" w:rsidP="00356E13">
      <w:pPr>
        <w:shd w:val="clear" w:color="auto" w:fill="FFFFFF"/>
        <w:spacing w:line="240" w:lineRule="auto"/>
        <w:ind w:firstLine="426"/>
        <w:jc w:val="both"/>
        <w:rPr>
          <w:spacing w:val="4"/>
          <w:sz w:val="24"/>
          <w:szCs w:val="24"/>
        </w:rPr>
      </w:pPr>
      <w:r w:rsidRPr="00F74971">
        <w:rPr>
          <w:b/>
          <w:spacing w:val="2"/>
          <w:sz w:val="24"/>
          <w:szCs w:val="24"/>
        </w:rPr>
        <w:t>Рейтинг</w:t>
      </w:r>
      <w:r w:rsidRPr="00F74971">
        <w:rPr>
          <w:spacing w:val="2"/>
          <w:sz w:val="24"/>
          <w:szCs w:val="24"/>
        </w:rPr>
        <w:t xml:space="preserve"> студента з дисципліни складається з балів, що отримуються за: відповіді, вирішення кейсів та доповнення відповідей інших студентів у процесі дискусії на семінарських заняттях; а також за написання </w:t>
      </w:r>
      <w:r w:rsidR="006C0462" w:rsidRPr="00F74971">
        <w:rPr>
          <w:spacing w:val="4"/>
          <w:sz w:val="24"/>
          <w:szCs w:val="24"/>
        </w:rPr>
        <w:t>модульної контрольної роботи у вигляді заповнення формуляру (заяви) до ЄСПЛ.</w:t>
      </w:r>
    </w:p>
    <w:p w14:paraId="1A4E915B" w14:textId="77777777" w:rsidR="00DC04DC" w:rsidRPr="00F74971" w:rsidRDefault="00DC04DC" w:rsidP="00356E13">
      <w:pPr>
        <w:shd w:val="clear" w:color="auto" w:fill="FFFFFF"/>
        <w:spacing w:line="240" w:lineRule="auto"/>
        <w:ind w:firstLine="426"/>
        <w:jc w:val="both"/>
        <w:rPr>
          <w:b/>
          <w:spacing w:val="2"/>
          <w:sz w:val="24"/>
          <w:szCs w:val="24"/>
        </w:rPr>
      </w:pPr>
      <w:r w:rsidRPr="00F74971">
        <w:rPr>
          <w:b/>
          <w:spacing w:val="2"/>
          <w:sz w:val="24"/>
          <w:szCs w:val="24"/>
        </w:rPr>
        <w:t>Кожне семінарське заняття оцінюється у 5 балів.</w:t>
      </w:r>
    </w:p>
    <w:p w14:paraId="532B0FF9" w14:textId="77777777" w:rsidR="00DC04DC" w:rsidRPr="00F74971" w:rsidRDefault="00DC04DC" w:rsidP="00356E13">
      <w:pPr>
        <w:shd w:val="clear" w:color="auto" w:fill="FFFFFF"/>
        <w:spacing w:line="240" w:lineRule="auto"/>
        <w:ind w:firstLine="426"/>
        <w:jc w:val="both"/>
        <w:rPr>
          <w:b/>
          <w:spacing w:val="2"/>
          <w:sz w:val="24"/>
          <w:szCs w:val="24"/>
        </w:rPr>
      </w:pPr>
      <w:r w:rsidRPr="00F74971">
        <w:rPr>
          <w:b/>
          <w:spacing w:val="2"/>
          <w:sz w:val="24"/>
          <w:szCs w:val="24"/>
        </w:rPr>
        <w:t>Кожен кейс оцінюється у 5 балів.</w:t>
      </w:r>
    </w:p>
    <w:p w14:paraId="65EA0E9B" w14:textId="77777777" w:rsidR="005111B5" w:rsidRPr="00F74971" w:rsidRDefault="005111B5" w:rsidP="00356E13">
      <w:pPr>
        <w:shd w:val="clear" w:color="auto" w:fill="FFFFFF"/>
        <w:spacing w:line="240" w:lineRule="auto"/>
        <w:ind w:firstLine="426"/>
        <w:jc w:val="both"/>
        <w:rPr>
          <w:spacing w:val="2"/>
          <w:sz w:val="24"/>
          <w:szCs w:val="24"/>
        </w:rPr>
      </w:pPr>
      <w:r w:rsidRPr="00F74971">
        <w:rPr>
          <w:spacing w:val="2"/>
          <w:sz w:val="24"/>
          <w:szCs w:val="24"/>
        </w:rPr>
        <w:t xml:space="preserve">Студент отримає </w:t>
      </w:r>
      <w:r w:rsidRPr="00F74971">
        <w:rPr>
          <w:b/>
          <w:spacing w:val="2"/>
          <w:sz w:val="24"/>
          <w:szCs w:val="24"/>
        </w:rPr>
        <w:t>найвищий рейтинг</w:t>
      </w:r>
      <w:r w:rsidRPr="00F74971">
        <w:rPr>
          <w:spacing w:val="2"/>
          <w:sz w:val="24"/>
          <w:szCs w:val="24"/>
        </w:rPr>
        <w:t>, якщо він бере активну участь на проведених семінарських заняттях, переважно надає повні та аргументовані відповіді, логічно їх викладає, висловлює власну позицію з дискусійних питань.</w:t>
      </w:r>
    </w:p>
    <w:p w14:paraId="5F3F3CBA" w14:textId="4E462954" w:rsidR="005111B5" w:rsidRPr="00F74971" w:rsidRDefault="005111B5" w:rsidP="00356E13">
      <w:pPr>
        <w:shd w:val="clear" w:color="auto" w:fill="FFFFFF"/>
        <w:spacing w:line="240" w:lineRule="auto"/>
        <w:ind w:firstLine="426"/>
        <w:jc w:val="both"/>
        <w:rPr>
          <w:spacing w:val="2"/>
          <w:sz w:val="24"/>
          <w:szCs w:val="24"/>
        </w:rPr>
      </w:pPr>
      <w:r w:rsidRPr="00F74971">
        <w:rPr>
          <w:spacing w:val="2"/>
          <w:sz w:val="24"/>
          <w:szCs w:val="24"/>
        </w:rPr>
        <w:t xml:space="preserve">Пропущені заняття, </w:t>
      </w:r>
      <w:r w:rsidR="00DC04DC" w:rsidRPr="00F74971">
        <w:rPr>
          <w:spacing w:val="2"/>
          <w:sz w:val="24"/>
          <w:szCs w:val="24"/>
        </w:rPr>
        <w:t xml:space="preserve">порушення строків здачі, </w:t>
      </w:r>
      <w:r w:rsidRPr="00F74971">
        <w:rPr>
          <w:spacing w:val="2"/>
          <w:sz w:val="24"/>
          <w:szCs w:val="24"/>
        </w:rPr>
        <w:t xml:space="preserve">неточності, неповнота, помилки у відповідях спричиняють </w:t>
      </w:r>
      <w:r w:rsidRPr="00F74971">
        <w:rPr>
          <w:b/>
          <w:spacing w:val="2"/>
          <w:sz w:val="24"/>
          <w:szCs w:val="24"/>
        </w:rPr>
        <w:t>зниження рейтингу</w:t>
      </w:r>
      <w:r w:rsidRPr="00F74971">
        <w:rPr>
          <w:spacing w:val="2"/>
          <w:sz w:val="24"/>
          <w:szCs w:val="24"/>
        </w:rPr>
        <w:t xml:space="preserve"> студента. </w:t>
      </w:r>
    </w:p>
    <w:p w14:paraId="586767B0" w14:textId="0221E99A" w:rsidR="005111B5" w:rsidRPr="00F74971" w:rsidRDefault="005111B5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Студент може оскаржити оцінку викладача,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649D4B6E" w14:textId="77777777" w:rsidR="0054477B" w:rsidRPr="00F74971" w:rsidRDefault="0054477B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Студент протягом семестру має можливість набрати усі 100 балів та отримати оцінку «автоматом», не здаючи залік.</w:t>
      </w:r>
    </w:p>
    <w:p w14:paraId="0163B8EB" w14:textId="77777777" w:rsidR="0054477B" w:rsidRPr="00F74971" w:rsidRDefault="0054477B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Студент, який отримав менше 60 балів – здає залік.</w:t>
      </w:r>
    </w:p>
    <w:p w14:paraId="505B11DF" w14:textId="148C7C20" w:rsidR="0054477B" w:rsidRPr="00F74971" w:rsidRDefault="0054477B" w:rsidP="00356E13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>Студент, який у семестрі отримав більше 60 балів, але бажає підвищити свій результат, може здати залік.</w:t>
      </w:r>
      <w:r w:rsidR="008B4DE6" w:rsidRPr="00F74971">
        <w:rPr>
          <w:b/>
          <w:sz w:val="24"/>
          <w:szCs w:val="24"/>
        </w:rPr>
        <w:t xml:space="preserve"> </w:t>
      </w:r>
    </w:p>
    <w:p w14:paraId="336D8ADC" w14:textId="43DC4578" w:rsidR="008B4DE6" w:rsidRPr="00F74971" w:rsidRDefault="008B4DE6" w:rsidP="002E4CC7">
      <w:pPr>
        <w:pStyle w:val="a0"/>
        <w:spacing w:line="240" w:lineRule="auto"/>
        <w:ind w:left="0"/>
        <w:contextualSpacing w:val="0"/>
        <w:jc w:val="both"/>
        <w:rPr>
          <w:i/>
          <w:sz w:val="24"/>
          <w:szCs w:val="24"/>
        </w:rPr>
      </w:pPr>
    </w:p>
    <w:p w14:paraId="2C4EAB60" w14:textId="4FA95843" w:rsidR="004A6336" w:rsidRPr="00F74971" w:rsidRDefault="005413FF" w:rsidP="002E4CC7">
      <w:pPr>
        <w:pStyle w:val="a0"/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F74971">
        <w:rPr>
          <w:b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F74971">
        <w:rPr>
          <w:b/>
          <w:sz w:val="24"/>
          <w:szCs w:val="24"/>
        </w:rPr>
        <w:t>:</w:t>
      </w:r>
      <w:r w:rsidR="003F0A41" w:rsidRPr="00F74971">
        <w:rPr>
          <w:b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F74971" w14:paraId="4FE7F9AF" w14:textId="77777777" w:rsidTr="005111B5">
        <w:tc>
          <w:tcPr>
            <w:tcW w:w="3119" w:type="dxa"/>
          </w:tcPr>
          <w:p w14:paraId="61115C50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4971">
              <w:rPr>
                <w:i/>
                <w:sz w:val="24"/>
                <w:szCs w:val="24"/>
              </w:rPr>
              <w:t>Оцінка</w:t>
            </w:r>
          </w:p>
        </w:tc>
      </w:tr>
      <w:tr w:rsidR="004A6336" w:rsidRPr="00F74971" w14:paraId="78A2C290" w14:textId="77777777" w:rsidTr="005111B5">
        <w:tc>
          <w:tcPr>
            <w:tcW w:w="3119" w:type="dxa"/>
          </w:tcPr>
          <w:p w14:paraId="11627FE0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Відмінно</w:t>
            </w:r>
          </w:p>
        </w:tc>
      </w:tr>
      <w:tr w:rsidR="004A6336" w:rsidRPr="00F74971" w14:paraId="364A0B8C" w14:textId="77777777" w:rsidTr="005111B5">
        <w:tc>
          <w:tcPr>
            <w:tcW w:w="3119" w:type="dxa"/>
          </w:tcPr>
          <w:p w14:paraId="170EFE8F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Дуже добре</w:t>
            </w:r>
          </w:p>
        </w:tc>
      </w:tr>
      <w:tr w:rsidR="004A6336" w:rsidRPr="00F74971" w14:paraId="76D958DF" w14:textId="77777777" w:rsidTr="005111B5">
        <w:tc>
          <w:tcPr>
            <w:tcW w:w="3119" w:type="dxa"/>
          </w:tcPr>
          <w:p w14:paraId="51A9BCC5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Добре</w:t>
            </w:r>
          </w:p>
        </w:tc>
      </w:tr>
      <w:tr w:rsidR="004A6336" w:rsidRPr="00F74971" w14:paraId="69C3B61C" w14:textId="77777777" w:rsidTr="005111B5">
        <w:tc>
          <w:tcPr>
            <w:tcW w:w="3119" w:type="dxa"/>
          </w:tcPr>
          <w:p w14:paraId="0B335821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Задовільно</w:t>
            </w:r>
          </w:p>
        </w:tc>
      </w:tr>
      <w:tr w:rsidR="004A6336" w:rsidRPr="00F74971" w14:paraId="0AAF5C24" w14:textId="77777777" w:rsidTr="005111B5">
        <w:tc>
          <w:tcPr>
            <w:tcW w:w="3119" w:type="dxa"/>
          </w:tcPr>
          <w:p w14:paraId="142E2F8F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Достатньо</w:t>
            </w:r>
          </w:p>
        </w:tc>
      </w:tr>
      <w:tr w:rsidR="004A6336" w:rsidRPr="00F74971" w14:paraId="318C64DC" w14:textId="77777777" w:rsidTr="005111B5">
        <w:tc>
          <w:tcPr>
            <w:tcW w:w="3119" w:type="dxa"/>
          </w:tcPr>
          <w:p w14:paraId="046E94AB" w14:textId="77777777" w:rsidR="004A6336" w:rsidRPr="00F74971" w:rsidRDefault="004A6336" w:rsidP="002E4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F74971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Незадовільно</w:t>
            </w:r>
          </w:p>
        </w:tc>
      </w:tr>
      <w:tr w:rsidR="004A6336" w:rsidRPr="00F74971" w14:paraId="156B2581" w14:textId="77777777" w:rsidTr="005111B5">
        <w:tc>
          <w:tcPr>
            <w:tcW w:w="3119" w:type="dxa"/>
            <w:vAlign w:val="center"/>
          </w:tcPr>
          <w:p w14:paraId="72061DF7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F74971" w:rsidRDefault="004A6336" w:rsidP="002E4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74971">
              <w:rPr>
                <w:sz w:val="24"/>
                <w:szCs w:val="24"/>
              </w:rPr>
              <w:t>Не допущено</w:t>
            </w:r>
          </w:p>
        </w:tc>
      </w:tr>
    </w:tbl>
    <w:p w14:paraId="4564A182" w14:textId="5F853449" w:rsidR="003555EA" w:rsidRPr="00F74971" w:rsidRDefault="003555EA" w:rsidP="002E4CC7">
      <w:pPr>
        <w:spacing w:line="240" w:lineRule="auto"/>
        <w:jc w:val="both"/>
        <w:rPr>
          <w:b/>
          <w:bCs/>
          <w:sz w:val="24"/>
          <w:szCs w:val="24"/>
        </w:rPr>
      </w:pPr>
    </w:p>
    <w:p w14:paraId="1EB5951C" w14:textId="77777777" w:rsidR="006C0462" w:rsidRPr="00F74971" w:rsidRDefault="006C0462" w:rsidP="002E4CC7">
      <w:pPr>
        <w:spacing w:line="240" w:lineRule="auto"/>
        <w:jc w:val="both"/>
        <w:rPr>
          <w:b/>
          <w:sz w:val="24"/>
          <w:szCs w:val="24"/>
        </w:rPr>
      </w:pPr>
    </w:p>
    <w:p w14:paraId="37260F0A" w14:textId="370FAF04" w:rsidR="006C0462" w:rsidRPr="00F74971" w:rsidRDefault="00F74971" w:rsidP="002E4CC7">
      <w:pPr>
        <w:spacing w:line="240" w:lineRule="auto"/>
        <w:jc w:val="both"/>
        <w:rPr>
          <w:b/>
          <w:sz w:val="24"/>
          <w:szCs w:val="24"/>
        </w:rPr>
      </w:pPr>
      <w:r w:rsidRPr="00F74971">
        <w:rPr>
          <w:b/>
          <w:sz w:val="24"/>
          <w:szCs w:val="24"/>
        </w:rPr>
        <w:t xml:space="preserve">8. </w:t>
      </w:r>
      <w:r w:rsidR="006C0462" w:rsidRPr="00F74971">
        <w:rPr>
          <w:b/>
          <w:sz w:val="24"/>
          <w:szCs w:val="24"/>
        </w:rPr>
        <w:t xml:space="preserve">Дистанційне навчання </w:t>
      </w:r>
    </w:p>
    <w:p w14:paraId="4A1BD17E" w14:textId="719DD4D5" w:rsidR="006C0462" w:rsidRPr="00F74971" w:rsidRDefault="006C0462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Можливе синхронне дистанційне навчання з використанням платформ для відео-конференцій та освітньої платформи для дистанційного навчання в університеті.</w:t>
      </w:r>
    </w:p>
    <w:p w14:paraId="4EFADFEC" w14:textId="26870E23" w:rsidR="009D5DF1" w:rsidRPr="00F74971" w:rsidRDefault="009D5DF1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Лекції та усні семінарські заняття будуть проводитись</w:t>
      </w:r>
      <w:r w:rsidR="00D05D4D" w:rsidRPr="00F74971">
        <w:rPr>
          <w:sz w:val="24"/>
          <w:szCs w:val="24"/>
        </w:rPr>
        <w:t xml:space="preserve"> очно або</w:t>
      </w:r>
      <w:r w:rsidRPr="00F74971">
        <w:rPr>
          <w:sz w:val="24"/>
          <w:szCs w:val="24"/>
        </w:rPr>
        <w:t xml:space="preserve"> за допомогою </w:t>
      </w:r>
      <w:r w:rsidR="00D05D4D" w:rsidRPr="00F74971">
        <w:rPr>
          <w:sz w:val="24"/>
          <w:szCs w:val="24"/>
        </w:rPr>
        <w:t xml:space="preserve">загальноприйнятих технічних засобів (у т.ч. технологій </w:t>
      </w:r>
      <w:r w:rsidRPr="00F74971">
        <w:rPr>
          <w:sz w:val="24"/>
          <w:szCs w:val="24"/>
          <w:lang w:val="en-US"/>
        </w:rPr>
        <w:t>Zoom</w:t>
      </w:r>
      <w:r w:rsidRPr="00F74971">
        <w:rPr>
          <w:sz w:val="24"/>
          <w:szCs w:val="24"/>
        </w:rPr>
        <w:t xml:space="preserve"> або </w:t>
      </w:r>
      <w:r w:rsidRPr="00F74971">
        <w:rPr>
          <w:sz w:val="24"/>
          <w:szCs w:val="24"/>
          <w:lang w:val="en-US"/>
        </w:rPr>
        <w:t>Google</w:t>
      </w:r>
      <w:r w:rsidRPr="00F74971">
        <w:rPr>
          <w:sz w:val="24"/>
          <w:szCs w:val="24"/>
        </w:rPr>
        <w:t xml:space="preserve"> </w:t>
      </w:r>
      <w:r w:rsidRPr="00F74971">
        <w:rPr>
          <w:sz w:val="24"/>
          <w:szCs w:val="24"/>
          <w:lang w:val="en-US"/>
        </w:rPr>
        <w:t>Meet</w:t>
      </w:r>
      <w:r w:rsidR="00D05D4D" w:rsidRPr="00F74971">
        <w:rPr>
          <w:sz w:val="24"/>
          <w:szCs w:val="24"/>
        </w:rPr>
        <w:t>)</w:t>
      </w:r>
      <w:r w:rsidRPr="00F74971">
        <w:rPr>
          <w:sz w:val="24"/>
          <w:szCs w:val="24"/>
        </w:rPr>
        <w:t>. Відповідні посилання будуть надіслані на пошту групи.</w:t>
      </w:r>
    </w:p>
    <w:p w14:paraId="3ECCFFFF" w14:textId="159DF4D5" w:rsidR="006C0462" w:rsidRPr="00F74971" w:rsidRDefault="006C0462" w:rsidP="00356E13">
      <w:pPr>
        <w:spacing w:line="240" w:lineRule="auto"/>
        <w:ind w:firstLine="426"/>
        <w:jc w:val="both"/>
        <w:rPr>
          <w:sz w:val="24"/>
          <w:szCs w:val="24"/>
        </w:rPr>
      </w:pPr>
      <w:r w:rsidRPr="00F74971">
        <w:rPr>
          <w:sz w:val="24"/>
          <w:szCs w:val="24"/>
        </w:rPr>
        <w:t>Письмові завдання, кейси та модульна контрольна робота будуть виконуватись</w:t>
      </w:r>
      <w:r w:rsidR="00D05D4D" w:rsidRPr="00F74971">
        <w:rPr>
          <w:sz w:val="24"/>
          <w:szCs w:val="24"/>
        </w:rPr>
        <w:t xml:space="preserve"> письмово, в т.ч.</w:t>
      </w:r>
      <w:r w:rsidRPr="00F74971">
        <w:rPr>
          <w:sz w:val="24"/>
          <w:szCs w:val="24"/>
        </w:rPr>
        <w:t xml:space="preserve"> на платформ</w:t>
      </w:r>
      <w:r w:rsidR="00D05D4D" w:rsidRPr="00F74971">
        <w:rPr>
          <w:sz w:val="24"/>
          <w:szCs w:val="24"/>
        </w:rPr>
        <w:t>ах Сікорський,</w:t>
      </w:r>
      <w:r w:rsidRPr="00F74971">
        <w:rPr>
          <w:sz w:val="24"/>
          <w:szCs w:val="24"/>
        </w:rPr>
        <w:t xml:space="preserve"> </w:t>
      </w:r>
      <w:r w:rsidRPr="00F74971">
        <w:rPr>
          <w:sz w:val="24"/>
          <w:szCs w:val="24"/>
          <w:lang w:val="en-US"/>
        </w:rPr>
        <w:t>Classroom</w:t>
      </w:r>
      <w:r w:rsidR="00D05D4D" w:rsidRPr="00F74971">
        <w:rPr>
          <w:sz w:val="24"/>
          <w:szCs w:val="24"/>
        </w:rPr>
        <w:t>, або через електронну пошту (залежно від форми заняття та змісту наданих завдань)</w:t>
      </w:r>
      <w:r w:rsidRPr="00F74971">
        <w:rPr>
          <w:sz w:val="24"/>
          <w:szCs w:val="24"/>
        </w:rPr>
        <w:t>.</w:t>
      </w:r>
    </w:p>
    <w:p w14:paraId="1433CE81" w14:textId="77777777" w:rsidR="006C0462" w:rsidRPr="00F74971" w:rsidRDefault="006C0462" w:rsidP="002E4CC7">
      <w:pPr>
        <w:spacing w:line="240" w:lineRule="auto"/>
        <w:jc w:val="both"/>
        <w:rPr>
          <w:b/>
          <w:bCs/>
          <w:sz w:val="24"/>
          <w:szCs w:val="24"/>
        </w:rPr>
      </w:pPr>
    </w:p>
    <w:p w14:paraId="18067C29" w14:textId="3B4E4973" w:rsidR="00AD5593" w:rsidRPr="00F74971" w:rsidRDefault="00714AB2" w:rsidP="002E4CC7">
      <w:pPr>
        <w:spacing w:line="240" w:lineRule="auto"/>
        <w:jc w:val="both"/>
        <w:rPr>
          <w:b/>
          <w:bCs/>
          <w:sz w:val="24"/>
          <w:szCs w:val="24"/>
        </w:rPr>
      </w:pPr>
      <w:r w:rsidRPr="00F74971">
        <w:rPr>
          <w:b/>
          <w:bCs/>
          <w:sz w:val="24"/>
          <w:szCs w:val="24"/>
        </w:rPr>
        <w:t>Робочу програму</w:t>
      </w:r>
      <w:r w:rsidR="00AD5593" w:rsidRPr="00F74971">
        <w:rPr>
          <w:b/>
          <w:bCs/>
          <w:sz w:val="24"/>
          <w:szCs w:val="24"/>
        </w:rPr>
        <w:t xml:space="preserve"> навчальної дисципліни</w:t>
      </w:r>
      <w:r w:rsidR="00F162DC" w:rsidRPr="00F74971">
        <w:rPr>
          <w:b/>
          <w:bCs/>
          <w:sz w:val="24"/>
          <w:szCs w:val="24"/>
        </w:rPr>
        <w:t xml:space="preserve"> (силабус)</w:t>
      </w:r>
      <w:r w:rsidR="005F4692" w:rsidRPr="00F74971">
        <w:rPr>
          <w:b/>
          <w:bCs/>
          <w:sz w:val="24"/>
          <w:szCs w:val="24"/>
        </w:rPr>
        <w:t>:</w:t>
      </w:r>
    </w:p>
    <w:p w14:paraId="75F34F0D" w14:textId="7A875274" w:rsidR="00BA590A" w:rsidRPr="00F74971" w:rsidRDefault="001D56C1" w:rsidP="002E4CC7">
      <w:pPr>
        <w:spacing w:line="240" w:lineRule="auto"/>
        <w:jc w:val="both"/>
        <w:rPr>
          <w:b/>
          <w:bCs/>
          <w:sz w:val="24"/>
          <w:szCs w:val="24"/>
        </w:rPr>
      </w:pPr>
      <w:r w:rsidRPr="00F74971">
        <w:rPr>
          <w:b/>
          <w:bCs/>
          <w:sz w:val="24"/>
          <w:szCs w:val="24"/>
        </w:rPr>
        <w:t>С</w:t>
      </w:r>
      <w:r w:rsidR="00B47838" w:rsidRPr="00F74971">
        <w:rPr>
          <w:b/>
          <w:bCs/>
          <w:sz w:val="24"/>
          <w:szCs w:val="24"/>
        </w:rPr>
        <w:t>кладено</w:t>
      </w:r>
      <w:r w:rsidR="00B47838" w:rsidRPr="00F74971">
        <w:rPr>
          <w:sz w:val="24"/>
          <w:szCs w:val="24"/>
        </w:rPr>
        <w:t xml:space="preserve"> </w:t>
      </w:r>
      <w:r w:rsidR="00356E13" w:rsidRPr="00356E13">
        <w:rPr>
          <w:sz w:val="24"/>
          <w:szCs w:val="24"/>
        </w:rPr>
        <w:t>доктор юридичних наук, доцент, професор кафедри господарського та адміністративного права Кравчук Олексій Олегович</w:t>
      </w:r>
    </w:p>
    <w:p w14:paraId="4139C090" w14:textId="77777777" w:rsidR="00356E13" w:rsidRDefault="00356E13" w:rsidP="002E4CC7">
      <w:pPr>
        <w:spacing w:line="240" w:lineRule="auto"/>
        <w:jc w:val="both"/>
        <w:rPr>
          <w:b/>
          <w:bCs/>
          <w:sz w:val="24"/>
          <w:szCs w:val="24"/>
        </w:rPr>
      </w:pPr>
    </w:p>
    <w:p w14:paraId="345B77FE" w14:textId="34732AB2" w:rsidR="00B47838" w:rsidRPr="00F74971" w:rsidRDefault="008A4024" w:rsidP="002E4CC7">
      <w:pPr>
        <w:spacing w:line="240" w:lineRule="auto"/>
        <w:jc w:val="both"/>
        <w:rPr>
          <w:sz w:val="24"/>
          <w:szCs w:val="24"/>
        </w:rPr>
      </w:pPr>
      <w:r w:rsidRPr="00F74971">
        <w:rPr>
          <w:b/>
          <w:bCs/>
          <w:sz w:val="24"/>
          <w:szCs w:val="24"/>
        </w:rPr>
        <w:t>Ухвалено</w:t>
      </w:r>
      <w:r w:rsidRPr="00F74971">
        <w:rPr>
          <w:sz w:val="24"/>
          <w:szCs w:val="24"/>
        </w:rPr>
        <w:t xml:space="preserve"> </w:t>
      </w:r>
      <w:r w:rsidR="00C301EF" w:rsidRPr="00F74971">
        <w:rPr>
          <w:sz w:val="24"/>
          <w:szCs w:val="24"/>
        </w:rPr>
        <w:t>к</w:t>
      </w:r>
      <w:r w:rsidRPr="00F74971">
        <w:rPr>
          <w:sz w:val="24"/>
          <w:szCs w:val="24"/>
        </w:rPr>
        <w:t>афедр</w:t>
      </w:r>
      <w:r w:rsidR="00C301EF" w:rsidRPr="00F74971">
        <w:rPr>
          <w:sz w:val="24"/>
          <w:szCs w:val="24"/>
        </w:rPr>
        <w:t>ою</w:t>
      </w:r>
      <w:r w:rsidRPr="00F74971">
        <w:rPr>
          <w:sz w:val="24"/>
          <w:szCs w:val="24"/>
        </w:rPr>
        <w:t xml:space="preserve"> </w:t>
      </w:r>
      <w:r w:rsidR="00AE41A6" w:rsidRPr="00F74971">
        <w:rPr>
          <w:sz w:val="24"/>
          <w:szCs w:val="24"/>
        </w:rPr>
        <w:t>__________</w:t>
      </w:r>
      <w:r w:rsidRPr="00F74971">
        <w:rPr>
          <w:sz w:val="24"/>
          <w:szCs w:val="24"/>
        </w:rPr>
        <w:t xml:space="preserve"> </w:t>
      </w:r>
      <w:r w:rsidR="00C301EF" w:rsidRPr="00F74971">
        <w:rPr>
          <w:sz w:val="24"/>
          <w:szCs w:val="24"/>
        </w:rPr>
        <w:t>(</w:t>
      </w:r>
      <w:r w:rsidR="00BA590A" w:rsidRPr="00F74971">
        <w:rPr>
          <w:sz w:val="24"/>
          <w:szCs w:val="24"/>
        </w:rPr>
        <w:t xml:space="preserve">протокол № </w:t>
      </w:r>
      <w:r w:rsidR="00C301EF" w:rsidRPr="00F74971">
        <w:rPr>
          <w:sz w:val="24"/>
          <w:szCs w:val="24"/>
        </w:rPr>
        <w:t xml:space="preserve">___ </w:t>
      </w:r>
      <w:r w:rsidR="00BA590A" w:rsidRPr="00F74971">
        <w:rPr>
          <w:sz w:val="24"/>
          <w:szCs w:val="24"/>
        </w:rPr>
        <w:t>від ____________</w:t>
      </w:r>
      <w:r w:rsidR="00C301EF" w:rsidRPr="00F74971">
        <w:rPr>
          <w:sz w:val="24"/>
          <w:szCs w:val="24"/>
        </w:rPr>
        <w:t>)</w:t>
      </w:r>
    </w:p>
    <w:p w14:paraId="29515EC0" w14:textId="77777777" w:rsidR="00356E13" w:rsidRDefault="00356E13" w:rsidP="002E4CC7">
      <w:pPr>
        <w:spacing w:line="240" w:lineRule="auto"/>
        <w:jc w:val="both"/>
        <w:rPr>
          <w:b/>
          <w:bCs/>
          <w:sz w:val="24"/>
          <w:szCs w:val="24"/>
        </w:rPr>
      </w:pPr>
    </w:p>
    <w:p w14:paraId="252444CF" w14:textId="5F9D1C3E" w:rsidR="005251A5" w:rsidRPr="00F74971" w:rsidRDefault="005251A5" w:rsidP="002E4CC7">
      <w:pPr>
        <w:spacing w:line="240" w:lineRule="auto"/>
        <w:jc w:val="both"/>
        <w:rPr>
          <w:bCs/>
          <w:sz w:val="24"/>
          <w:szCs w:val="24"/>
        </w:rPr>
      </w:pPr>
      <w:r w:rsidRPr="00F74971">
        <w:rPr>
          <w:b/>
          <w:bCs/>
          <w:sz w:val="24"/>
          <w:szCs w:val="24"/>
        </w:rPr>
        <w:t xml:space="preserve">Погоджено </w:t>
      </w:r>
      <w:r w:rsidR="00C301EF" w:rsidRPr="00F74971">
        <w:rPr>
          <w:sz w:val="24"/>
          <w:szCs w:val="24"/>
        </w:rPr>
        <w:t>Методичною комісією</w:t>
      </w:r>
      <w:r w:rsidRPr="00F74971">
        <w:rPr>
          <w:sz w:val="24"/>
          <w:szCs w:val="24"/>
        </w:rPr>
        <w:t xml:space="preserve"> </w:t>
      </w:r>
      <w:r w:rsidR="00AE41A6" w:rsidRPr="00F74971">
        <w:rPr>
          <w:sz w:val="24"/>
          <w:szCs w:val="24"/>
        </w:rPr>
        <w:t>факультету</w:t>
      </w:r>
      <w:r w:rsidR="00C301EF" w:rsidRPr="00F74971">
        <w:rPr>
          <w:sz w:val="24"/>
          <w:szCs w:val="24"/>
        </w:rPr>
        <w:t xml:space="preserve"> (</w:t>
      </w:r>
      <w:r w:rsidRPr="00F74971">
        <w:rPr>
          <w:sz w:val="24"/>
          <w:szCs w:val="24"/>
        </w:rPr>
        <w:t xml:space="preserve">протокол № </w:t>
      </w:r>
      <w:r w:rsidR="00C301EF" w:rsidRPr="00F74971">
        <w:rPr>
          <w:sz w:val="24"/>
          <w:szCs w:val="24"/>
        </w:rPr>
        <w:t>__ від __</w:t>
      </w:r>
      <w:r w:rsidRPr="00F74971">
        <w:rPr>
          <w:sz w:val="24"/>
          <w:szCs w:val="24"/>
        </w:rPr>
        <w:t>_____</w:t>
      </w:r>
      <w:r w:rsidR="00C301EF" w:rsidRPr="00F74971">
        <w:rPr>
          <w:bCs/>
          <w:sz w:val="24"/>
          <w:szCs w:val="24"/>
        </w:rPr>
        <w:t>)</w:t>
      </w:r>
    </w:p>
    <w:sectPr w:rsidR="005251A5" w:rsidRPr="00F7497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CE54" w14:textId="77777777" w:rsidR="00BF00CE" w:rsidRDefault="00BF00CE" w:rsidP="004E0EDF">
      <w:pPr>
        <w:spacing w:line="240" w:lineRule="auto"/>
      </w:pPr>
      <w:r>
        <w:separator/>
      </w:r>
    </w:p>
  </w:endnote>
  <w:endnote w:type="continuationSeparator" w:id="0">
    <w:p w14:paraId="1E33CDFC" w14:textId="77777777" w:rsidR="00BF00CE" w:rsidRDefault="00BF00C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AB01" w14:textId="77777777" w:rsidR="00BF00CE" w:rsidRDefault="00BF00CE" w:rsidP="004E0EDF">
      <w:pPr>
        <w:spacing w:line="240" w:lineRule="auto"/>
      </w:pPr>
      <w:r>
        <w:separator/>
      </w:r>
    </w:p>
  </w:footnote>
  <w:footnote w:type="continuationSeparator" w:id="0">
    <w:p w14:paraId="5DE27D1D" w14:textId="77777777" w:rsidR="00BF00CE" w:rsidRDefault="00BF00C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5B"/>
    <w:multiLevelType w:val="hybridMultilevel"/>
    <w:tmpl w:val="C3D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204"/>
    <w:multiLevelType w:val="hybridMultilevel"/>
    <w:tmpl w:val="99A4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8B0"/>
    <w:multiLevelType w:val="hybridMultilevel"/>
    <w:tmpl w:val="FB2686A0"/>
    <w:lvl w:ilvl="0" w:tplc="2214C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B07EEC"/>
    <w:multiLevelType w:val="hybridMultilevel"/>
    <w:tmpl w:val="BB32F16A"/>
    <w:lvl w:ilvl="0" w:tplc="3808F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A70A7"/>
    <w:multiLevelType w:val="hybridMultilevel"/>
    <w:tmpl w:val="D8BC1E00"/>
    <w:lvl w:ilvl="0" w:tplc="26F621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0729"/>
    <w:multiLevelType w:val="hybridMultilevel"/>
    <w:tmpl w:val="BA2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3010E"/>
    <w:multiLevelType w:val="hybridMultilevel"/>
    <w:tmpl w:val="2936845C"/>
    <w:lvl w:ilvl="0" w:tplc="55D0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A77F8"/>
    <w:multiLevelType w:val="hybridMultilevel"/>
    <w:tmpl w:val="4DF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26694"/>
    <w:multiLevelType w:val="hybridMultilevel"/>
    <w:tmpl w:val="19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872"/>
    <w:multiLevelType w:val="hybridMultilevel"/>
    <w:tmpl w:val="9F14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C12A16"/>
    <w:multiLevelType w:val="hybridMultilevel"/>
    <w:tmpl w:val="0F5E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147"/>
    <w:multiLevelType w:val="hybridMultilevel"/>
    <w:tmpl w:val="CBE48562"/>
    <w:lvl w:ilvl="0" w:tplc="EBE095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229FF"/>
    <w:multiLevelType w:val="hybridMultilevel"/>
    <w:tmpl w:val="716CD256"/>
    <w:lvl w:ilvl="0" w:tplc="B3762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E40DD5"/>
    <w:multiLevelType w:val="hybridMultilevel"/>
    <w:tmpl w:val="A5D66FD4"/>
    <w:lvl w:ilvl="0" w:tplc="9E548A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D92680"/>
    <w:multiLevelType w:val="hybridMultilevel"/>
    <w:tmpl w:val="FD4A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04E7"/>
    <w:multiLevelType w:val="multilevel"/>
    <w:tmpl w:val="E1562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361920C0"/>
    <w:multiLevelType w:val="hybridMultilevel"/>
    <w:tmpl w:val="431A9352"/>
    <w:lvl w:ilvl="0" w:tplc="551699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370E2"/>
    <w:multiLevelType w:val="hybridMultilevel"/>
    <w:tmpl w:val="0B66ABD4"/>
    <w:lvl w:ilvl="0" w:tplc="4AB8E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5910D0"/>
    <w:multiLevelType w:val="hybridMultilevel"/>
    <w:tmpl w:val="BA002840"/>
    <w:lvl w:ilvl="0" w:tplc="1ABCEA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C50BB6"/>
    <w:multiLevelType w:val="hybridMultilevel"/>
    <w:tmpl w:val="951CC9B0"/>
    <w:lvl w:ilvl="0" w:tplc="58D43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845F81"/>
    <w:multiLevelType w:val="hybridMultilevel"/>
    <w:tmpl w:val="CCB864B6"/>
    <w:lvl w:ilvl="0" w:tplc="FEC6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76C4"/>
    <w:multiLevelType w:val="hybridMultilevel"/>
    <w:tmpl w:val="799E00C4"/>
    <w:lvl w:ilvl="0" w:tplc="D87EED0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BC236B"/>
    <w:multiLevelType w:val="hybridMultilevel"/>
    <w:tmpl w:val="2508F546"/>
    <w:lvl w:ilvl="0" w:tplc="10303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2B49"/>
    <w:multiLevelType w:val="hybridMultilevel"/>
    <w:tmpl w:val="9C3402B4"/>
    <w:lvl w:ilvl="0" w:tplc="D77AFE8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280359D"/>
    <w:multiLevelType w:val="hybridMultilevel"/>
    <w:tmpl w:val="026C28CE"/>
    <w:lvl w:ilvl="0" w:tplc="6DA0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119A0"/>
    <w:multiLevelType w:val="hybridMultilevel"/>
    <w:tmpl w:val="FFC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A4D98"/>
    <w:multiLevelType w:val="hybridMultilevel"/>
    <w:tmpl w:val="339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41ED"/>
    <w:multiLevelType w:val="hybridMultilevel"/>
    <w:tmpl w:val="C1B823DA"/>
    <w:lvl w:ilvl="0" w:tplc="B0427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1346A"/>
    <w:multiLevelType w:val="hybridMultilevel"/>
    <w:tmpl w:val="064E2B08"/>
    <w:lvl w:ilvl="0" w:tplc="1AE657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0341DD"/>
    <w:multiLevelType w:val="hybridMultilevel"/>
    <w:tmpl w:val="E48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6728A"/>
    <w:multiLevelType w:val="hybridMultilevel"/>
    <w:tmpl w:val="FC62F278"/>
    <w:lvl w:ilvl="0" w:tplc="CC4AE2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573F2C"/>
    <w:multiLevelType w:val="hybridMultilevel"/>
    <w:tmpl w:val="E2D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50D49"/>
    <w:multiLevelType w:val="hybridMultilevel"/>
    <w:tmpl w:val="92B6E2EA"/>
    <w:lvl w:ilvl="0" w:tplc="D8A60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6B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A8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01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88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80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2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E0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83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83CA9"/>
    <w:multiLevelType w:val="hybridMultilevel"/>
    <w:tmpl w:val="B2785AAA"/>
    <w:lvl w:ilvl="0" w:tplc="7AFC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44678"/>
    <w:multiLevelType w:val="hybridMultilevel"/>
    <w:tmpl w:val="197E39A4"/>
    <w:lvl w:ilvl="0" w:tplc="B3485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81BE7"/>
    <w:multiLevelType w:val="hybridMultilevel"/>
    <w:tmpl w:val="B268B2EE"/>
    <w:lvl w:ilvl="0" w:tplc="767AA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6262E8"/>
    <w:multiLevelType w:val="hybridMultilevel"/>
    <w:tmpl w:val="09D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E6C72"/>
    <w:multiLevelType w:val="hybridMultilevel"/>
    <w:tmpl w:val="835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950E2"/>
    <w:multiLevelType w:val="hybridMultilevel"/>
    <w:tmpl w:val="CC1E555E"/>
    <w:lvl w:ilvl="0" w:tplc="6278F2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CA2E0F"/>
    <w:multiLevelType w:val="hybridMultilevel"/>
    <w:tmpl w:val="FED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347C"/>
    <w:multiLevelType w:val="hybridMultilevel"/>
    <w:tmpl w:val="682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6"/>
  </w:num>
  <w:num w:numId="5">
    <w:abstractNumId w:val="17"/>
  </w:num>
  <w:num w:numId="6">
    <w:abstractNumId w:val="15"/>
  </w:num>
  <w:num w:numId="7">
    <w:abstractNumId w:val="29"/>
  </w:num>
  <w:num w:numId="8">
    <w:abstractNumId w:val="11"/>
  </w:num>
  <w:num w:numId="9">
    <w:abstractNumId w:val="40"/>
  </w:num>
  <w:num w:numId="10">
    <w:abstractNumId w:val="9"/>
  </w:num>
  <w:num w:numId="11">
    <w:abstractNumId w:val="12"/>
  </w:num>
  <w:num w:numId="12">
    <w:abstractNumId w:val="43"/>
  </w:num>
  <w:num w:numId="13">
    <w:abstractNumId w:val="8"/>
  </w:num>
  <w:num w:numId="14">
    <w:abstractNumId w:val="7"/>
  </w:num>
  <w:num w:numId="15">
    <w:abstractNumId w:val="25"/>
  </w:num>
  <w:num w:numId="16">
    <w:abstractNumId w:val="42"/>
  </w:num>
  <w:num w:numId="17">
    <w:abstractNumId w:val="37"/>
  </w:num>
  <w:num w:numId="18">
    <w:abstractNumId w:val="4"/>
  </w:num>
  <w:num w:numId="19">
    <w:abstractNumId w:val="1"/>
  </w:num>
  <w:num w:numId="20">
    <w:abstractNumId w:val="18"/>
  </w:num>
  <w:num w:numId="21">
    <w:abstractNumId w:val="30"/>
  </w:num>
  <w:num w:numId="22">
    <w:abstractNumId w:val="31"/>
  </w:num>
  <w:num w:numId="23">
    <w:abstractNumId w:val="35"/>
  </w:num>
  <w:num w:numId="24">
    <w:abstractNumId w:val="19"/>
  </w:num>
  <w:num w:numId="25">
    <w:abstractNumId w:val="2"/>
  </w:num>
  <w:num w:numId="26">
    <w:abstractNumId w:val="23"/>
  </w:num>
  <w:num w:numId="27">
    <w:abstractNumId w:val="13"/>
  </w:num>
  <w:num w:numId="28">
    <w:abstractNumId w:val="36"/>
  </w:num>
  <w:num w:numId="29">
    <w:abstractNumId w:val="34"/>
  </w:num>
  <w:num w:numId="30">
    <w:abstractNumId w:val="16"/>
  </w:num>
  <w:num w:numId="31">
    <w:abstractNumId w:val="21"/>
  </w:num>
  <w:num w:numId="32">
    <w:abstractNumId w:val="0"/>
  </w:num>
  <w:num w:numId="33">
    <w:abstractNumId w:val="38"/>
  </w:num>
  <w:num w:numId="34">
    <w:abstractNumId w:val="27"/>
  </w:num>
  <w:num w:numId="35">
    <w:abstractNumId w:val="28"/>
  </w:num>
  <w:num w:numId="36">
    <w:abstractNumId w:val="22"/>
  </w:num>
  <w:num w:numId="37">
    <w:abstractNumId w:val="33"/>
  </w:num>
  <w:num w:numId="38">
    <w:abstractNumId w:val="41"/>
  </w:num>
  <w:num w:numId="39">
    <w:abstractNumId w:val="20"/>
  </w:num>
  <w:num w:numId="40">
    <w:abstractNumId w:val="24"/>
  </w:num>
  <w:num w:numId="41">
    <w:abstractNumId w:val="3"/>
  </w:num>
  <w:num w:numId="42">
    <w:abstractNumId w:val="26"/>
  </w:num>
  <w:num w:numId="43">
    <w:abstractNumId w:val="32"/>
  </w:num>
  <w:num w:numId="44">
    <w:abstractNumId w:val="14"/>
  </w:num>
  <w:num w:numId="45">
    <w:abstractNumId w:val="39"/>
    <w:lvlOverride w:ilvl="0">
      <w:startOverride w:val="1"/>
    </w:lvlOverride>
  </w:num>
  <w:num w:numId="46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710BB"/>
    <w:rsid w:val="00087AFC"/>
    <w:rsid w:val="000C40A0"/>
    <w:rsid w:val="000D1F73"/>
    <w:rsid w:val="000F01A9"/>
    <w:rsid w:val="00113864"/>
    <w:rsid w:val="001435BE"/>
    <w:rsid w:val="00154F54"/>
    <w:rsid w:val="00155301"/>
    <w:rsid w:val="001943AA"/>
    <w:rsid w:val="001D56C1"/>
    <w:rsid w:val="001F080E"/>
    <w:rsid w:val="001F542A"/>
    <w:rsid w:val="002143BE"/>
    <w:rsid w:val="0023533A"/>
    <w:rsid w:val="0024717A"/>
    <w:rsid w:val="00252236"/>
    <w:rsid w:val="00252850"/>
    <w:rsid w:val="00253BCC"/>
    <w:rsid w:val="00270675"/>
    <w:rsid w:val="002C2D02"/>
    <w:rsid w:val="002E4CC7"/>
    <w:rsid w:val="002F16AE"/>
    <w:rsid w:val="0030530B"/>
    <w:rsid w:val="00306C33"/>
    <w:rsid w:val="00307FF7"/>
    <w:rsid w:val="003555EA"/>
    <w:rsid w:val="00356E13"/>
    <w:rsid w:val="00360B51"/>
    <w:rsid w:val="003B2BE3"/>
    <w:rsid w:val="003C1370"/>
    <w:rsid w:val="003C70D8"/>
    <w:rsid w:val="003D35CF"/>
    <w:rsid w:val="003F0A41"/>
    <w:rsid w:val="00405C9F"/>
    <w:rsid w:val="00431246"/>
    <w:rsid w:val="00436255"/>
    <w:rsid w:val="004442EE"/>
    <w:rsid w:val="00447744"/>
    <w:rsid w:val="0046632F"/>
    <w:rsid w:val="00494B8C"/>
    <w:rsid w:val="0049788D"/>
    <w:rsid w:val="004A6336"/>
    <w:rsid w:val="004C0372"/>
    <w:rsid w:val="004D1575"/>
    <w:rsid w:val="004D7807"/>
    <w:rsid w:val="004E0EDF"/>
    <w:rsid w:val="004F6918"/>
    <w:rsid w:val="005111B5"/>
    <w:rsid w:val="005251A5"/>
    <w:rsid w:val="00530BFF"/>
    <w:rsid w:val="005413FF"/>
    <w:rsid w:val="0054477B"/>
    <w:rsid w:val="00556E26"/>
    <w:rsid w:val="005D764D"/>
    <w:rsid w:val="005F22DC"/>
    <w:rsid w:val="005F4692"/>
    <w:rsid w:val="006146FB"/>
    <w:rsid w:val="006757B0"/>
    <w:rsid w:val="006C0462"/>
    <w:rsid w:val="006E07FE"/>
    <w:rsid w:val="006E65B0"/>
    <w:rsid w:val="006F5C29"/>
    <w:rsid w:val="00714AB2"/>
    <w:rsid w:val="007244E1"/>
    <w:rsid w:val="00773010"/>
    <w:rsid w:val="0077700A"/>
    <w:rsid w:val="00791855"/>
    <w:rsid w:val="007E3190"/>
    <w:rsid w:val="007E7F74"/>
    <w:rsid w:val="007F7C45"/>
    <w:rsid w:val="00813704"/>
    <w:rsid w:val="008175C6"/>
    <w:rsid w:val="00832CCE"/>
    <w:rsid w:val="00880FD0"/>
    <w:rsid w:val="00894491"/>
    <w:rsid w:val="008A03A1"/>
    <w:rsid w:val="008A4024"/>
    <w:rsid w:val="008B16FE"/>
    <w:rsid w:val="008B4DE6"/>
    <w:rsid w:val="008D1B2D"/>
    <w:rsid w:val="008D493C"/>
    <w:rsid w:val="00903677"/>
    <w:rsid w:val="00941384"/>
    <w:rsid w:val="00962C2E"/>
    <w:rsid w:val="00982034"/>
    <w:rsid w:val="009B2DDB"/>
    <w:rsid w:val="009D5DF1"/>
    <w:rsid w:val="009F69B9"/>
    <w:rsid w:val="009F751E"/>
    <w:rsid w:val="00A2464E"/>
    <w:rsid w:val="00A2798C"/>
    <w:rsid w:val="00A90398"/>
    <w:rsid w:val="00AA6B23"/>
    <w:rsid w:val="00AB05C9"/>
    <w:rsid w:val="00AD5593"/>
    <w:rsid w:val="00AE41A6"/>
    <w:rsid w:val="00B20824"/>
    <w:rsid w:val="00B22E57"/>
    <w:rsid w:val="00B40317"/>
    <w:rsid w:val="00B47838"/>
    <w:rsid w:val="00BA590A"/>
    <w:rsid w:val="00BC3192"/>
    <w:rsid w:val="00BE0DD4"/>
    <w:rsid w:val="00BF00CE"/>
    <w:rsid w:val="00BF04A4"/>
    <w:rsid w:val="00BF0850"/>
    <w:rsid w:val="00C301EF"/>
    <w:rsid w:val="00C32BA6"/>
    <w:rsid w:val="00C42A21"/>
    <w:rsid w:val="00C55C12"/>
    <w:rsid w:val="00C61B58"/>
    <w:rsid w:val="00C95E25"/>
    <w:rsid w:val="00CE2205"/>
    <w:rsid w:val="00CE6146"/>
    <w:rsid w:val="00CE66B0"/>
    <w:rsid w:val="00D00E22"/>
    <w:rsid w:val="00D05879"/>
    <w:rsid w:val="00D05D4D"/>
    <w:rsid w:val="00D2172D"/>
    <w:rsid w:val="00D31D22"/>
    <w:rsid w:val="00D525C0"/>
    <w:rsid w:val="00D82DA7"/>
    <w:rsid w:val="00D92509"/>
    <w:rsid w:val="00DC04DC"/>
    <w:rsid w:val="00DC46FE"/>
    <w:rsid w:val="00E0088D"/>
    <w:rsid w:val="00E06AC5"/>
    <w:rsid w:val="00E07455"/>
    <w:rsid w:val="00E17713"/>
    <w:rsid w:val="00E45DE8"/>
    <w:rsid w:val="00E7075B"/>
    <w:rsid w:val="00E83EA3"/>
    <w:rsid w:val="00EA0EB9"/>
    <w:rsid w:val="00EB4F56"/>
    <w:rsid w:val="00EF4AD9"/>
    <w:rsid w:val="00F152E3"/>
    <w:rsid w:val="00F162DC"/>
    <w:rsid w:val="00F21E4B"/>
    <w:rsid w:val="00F25DB2"/>
    <w:rsid w:val="00F51B26"/>
    <w:rsid w:val="00F66D1F"/>
    <w:rsid w:val="00F677B9"/>
    <w:rsid w:val="00F74971"/>
    <w:rsid w:val="00F77E2B"/>
    <w:rsid w:val="00F95D78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Plain Text"/>
    <w:basedOn w:val="a"/>
    <w:link w:val="af2"/>
    <w:rsid w:val="002143BE"/>
    <w:pPr>
      <w:spacing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2143BE"/>
    <w:rPr>
      <w:rFonts w:ascii="Courier New" w:hAnsi="Courier New"/>
      <w:lang w:val="uk-UA"/>
    </w:rPr>
  </w:style>
  <w:style w:type="paragraph" w:styleId="af3">
    <w:name w:val="Body Text"/>
    <w:basedOn w:val="a"/>
    <w:link w:val="af4"/>
    <w:rsid w:val="002143BE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2143BE"/>
    <w:rPr>
      <w:rFonts w:ascii="Arial" w:hAnsi="Arial" w:cs="Arial"/>
      <w:bCs/>
      <w:sz w:val="24"/>
      <w:lang w:val="uk-UA"/>
    </w:rPr>
  </w:style>
  <w:style w:type="character" w:customStyle="1" w:styleId="apple-converted-space">
    <w:name w:val="apple-converted-space"/>
    <w:basedOn w:val="a1"/>
    <w:rsid w:val="002143BE"/>
  </w:style>
  <w:style w:type="character" w:customStyle="1" w:styleId="rvts44">
    <w:name w:val="rvts44"/>
    <w:basedOn w:val="a1"/>
    <w:rsid w:val="002143BE"/>
  </w:style>
  <w:style w:type="paragraph" w:styleId="af5">
    <w:name w:val="Body Text Indent"/>
    <w:basedOn w:val="a"/>
    <w:link w:val="af6"/>
    <w:semiHidden/>
    <w:unhideWhenUsed/>
    <w:rsid w:val="008B4DE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semiHidden/>
    <w:rsid w:val="008B4DE6"/>
    <w:rPr>
      <w:rFonts w:eastAsiaTheme="minorHAnsi"/>
      <w:sz w:val="28"/>
      <w:szCs w:val="28"/>
      <w:lang w:val="uk-UA" w:eastAsia="en-US"/>
    </w:rPr>
  </w:style>
  <w:style w:type="paragraph" w:styleId="2">
    <w:name w:val="Body Text 2"/>
    <w:basedOn w:val="a"/>
    <w:link w:val="20"/>
    <w:unhideWhenUsed/>
    <w:rsid w:val="008B4DE6"/>
    <w:pPr>
      <w:spacing w:after="120" w:line="480" w:lineRule="auto"/>
      <w:ind w:firstLine="426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8B4DE6"/>
    <w:rPr>
      <w:sz w:val="24"/>
      <w:lang w:val="uk-UA"/>
    </w:rPr>
  </w:style>
  <w:style w:type="paragraph" w:customStyle="1" w:styleId="af7">
    <w:name w:val="Готовый"/>
    <w:basedOn w:val="a"/>
    <w:rsid w:val="008B4D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val="ru-RU" w:eastAsia="ru-RU"/>
    </w:rPr>
  </w:style>
  <w:style w:type="paragraph" w:customStyle="1" w:styleId="041E0441043D04420435043A044104420443043A0440">
    <w:name w:val="&lt;041E&gt;&lt;0441&gt;&lt;043D&gt;. &lt;0442&gt;&lt;0435&gt;&lt;043A&gt;&lt;0441&gt;&lt;0442&gt; &lt;0443&gt;&lt;043A&gt;&lt;0440&gt;"/>
    <w:basedOn w:val="a"/>
    <w:rsid w:val="008B4DE6"/>
    <w:pPr>
      <w:tabs>
        <w:tab w:val="left" w:pos="560"/>
      </w:tabs>
      <w:autoSpaceDE w:val="0"/>
      <w:autoSpaceDN w:val="0"/>
      <w:adjustRightInd w:val="0"/>
      <w:spacing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2"/>
      <w:szCs w:val="22"/>
      <w:lang w:eastAsia="uk-UA"/>
    </w:rPr>
  </w:style>
  <w:style w:type="character" w:customStyle="1" w:styleId="af8">
    <w:name w:val="Основний текст_"/>
    <w:basedOn w:val="a1"/>
    <w:link w:val="af9"/>
    <w:uiPriority w:val="99"/>
    <w:rsid w:val="00CE6146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af9">
    <w:name w:val="Основний текст"/>
    <w:basedOn w:val="a"/>
    <w:link w:val="af8"/>
    <w:uiPriority w:val="99"/>
    <w:rsid w:val="00CE6146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spacing w:val="3"/>
      <w:sz w:val="19"/>
      <w:szCs w:val="19"/>
      <w:lang w:val="ru-RU" w:eastAsia="ru-RU"/>
    </w:rPr>
  </w:style>
  <w:style w:type="paragraph" w:styleId="HTML">
    <w:name w:val="HTML Preformatted"/>
    <w:basedOn w:val="a"/>
    <w:link w:val="HTML0"/>
    <w:uiPriority w:val="99"/>
    <w:rsid w:val="0040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05C9F"/>
    <w:rPr>
      <w:rFonts w:ascii="Courier New" w:hAnsi="Courier New" w:cs="Courier New"/>
    </w:rPr>
  </w:style>
  <w:style w:type="character" w:styleId="afa">
    <w:name w:val="Emphasis"/>
    <w:basedOn w:val="a1"/>
    <w:uiPriority w:val="20"/>
    <w:qFormat/>
    <w:rsid w:val="00405C9F"/>
    <w:rPr>
      <w:i/>
      <w:iCs/>
    </w:rPr>
  </w:style>
  <w:style w:type="paragraph" w:customStyle="1" w:styleId="12">
    <w:name w:val="Абзац списка1"/>
    <w:basedOn w:val="a"/>
    <w:uiPriority w:val="34"/>
    <w:qFormat/>
    <w:rsid w:val="008175C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8175C6"/>
  </w:style>
  <w:style w:type="paragraph" w:styleId="3">
    <w:name w:val="Body Text 3"/>
    <w:basedOn w:val="a"/>
    <w:link w:val="30"/>
    <w:unhideWhenUsed/>
    <w:rsid w:val="006C04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6C0462"/>
    <w:rPr>
      <w:rFonts w:eastAsiaTheme="minorHAnsi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hr.coe.int/Pages/home.aspx?p=caselaw/analysis/guides&amp;c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.kravchuk@kpi.ua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nsj.gov.ua/files/15296531171517493988%D0%97%D0%B1%D1%96%D1%80%D0%BD%D0%B8%D0%BA%20%D1%80%D1%96%D1%88%D0%B5%D0%BD%D1%8C%20%D0%84%D0%A1%D0%9F%D0%9B_30.01.2018%20%D0%BD%D0%B0%20%D1%81%D0%B0%D0%B9%D1%8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Pages/home.aspx?p=caselaw/analysis/guides&amp;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E2974-79DC-4B9A-9594-5936CAE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Nastya</cp:lastModifiedBy>
  <cp:revision>7</cp:revision>
  <cp:lastPrinted>2020-09-07T13:50:00Z</cp:lastPrinted>
  <dcterms:created xsi:type="dcterms:W3CDTF">2021-04-26T10:33:00Z</dcterms:created>
  <dcterms:modified xsi:type="dcterms:W3CDTF">2021-06-22T09:35:00Z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