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94151" w:rsidRPr="008148A3" w14:paraId="4ABABBB7" w14:textId="77777777" w:rsidTr="00F77FB9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D8D701A" w14:textId="0C40C83E" w:rsidR="00F94151" w:rsidRPr="00080537" w:rsidRDefault="00F94151" w:rsidP="00F77FB9">
            <w:pPr>
              <w:spacing w:line="240" w:lineRule="auto"/>
              <w:ind w:left="-57"/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68FA8356" wp14:editId="6698BABD">
                  <wp:extent cx="419735" cy="555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>Igor Sikorsky</w:t>
            </w:r>
          </w:p>
          <w:p w14:paraId="66128AEE" w14:textId="77777777" w:rsidR="00F94151" w:rsidRPr="008148A3" w:rsidRDefault="00F94151" w:rsidP="00F77FB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 xml:space="preserve">Kyiv </w:t>
            </w: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>Polytechnic Institute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C578" w14:textId="77777777" w:rsidR="00F94151" w:rsidRPr="00080537" w:rsidRDefault="00F94151" w:rsidP="00F77FB9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</w:pP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Emblem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  <w:t>of</w:t>
            </w:r>
          </w:p>
          <w:p w14:paraId="7E6C73D7" w14:textId="77777777" w:rsidR="00F94151" w:rsidRPr="00080537" w:rsidRDefault="00F94151" w:rsidP="00F77FB9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departments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(</w:t>
            </w: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if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available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53A3B745" w14:textId="29469787" w:rsidR="00F94151" w:rsidRPr="00080537" w:rsidRDefault="00DA7A53" w:rsidP="00F77FB9">
            <w:pPr>
              <w:spacing w:line="240" w:lineRule="auto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  <w:t>Department of Economic and Administrative Law</w:t>
            </w:r>
          </w:p>
        </w:tc>
      </w:tr>
      <w:tr w:rsidR="00F94151" w:rsidRPr="002F3288" w14:paraId="657681F6" w14:textId="77777777" w:rsidTr="00F77FB9">
        <w:trPr>
          <w:trHeight w:val="628"/>
        </w:trPr>
        <w:tc>
          <w:tcPr>
            <w:tcW w:w="10206" w:type="dxa"/>
            <w:gridSpan w:val="3"/>
          </w:tcPr>
          <w:p w14:paraId="78C039AA" w14:textId="77777777" w:rsidR="00F94151" w:rsidRPr="002F3288" w:rsidRDefault="00F94151" w:rsidP="00F77FB9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Arial" w:eastAsia="Times New Roman" w:hAnsi="Arial" w:cs="Arial"/>
                <w:color w:val="44546A" w:themeColor="text2"/>
                <w:lang w:val="en-US"/>
              </w:rPr>
            </w:pPr>
          </w:p>
          <w:p w14:paraId="58118BBB" w14:textId="59011DE9" w:rsidR="00682BCE" w:rsidRPr="0098015E" w:rsidRDefault="00682BCE" w:rsidP="0098015E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98015E">
              <w:rPr>
                <w:b/>
                <w:bCs/>
                <w:sz w:val="40"/>
                <w:szCs w:val="40"/>
              </w:rPr>
              <w:t>Land</w:t>
            </w:r>
            <w:proofErr w:type="spellEnd"/>
            <w:r w:rsidRPr="0098015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8015E">
              <w:rPr>
                <w:b/>
                <w:bCs/>
                <w:sz w:val="40"/>
                <w:szCs w:val="40"/>
              </w:rPr>
              <w:t>law</w:t>
            </w:r>
            <w:proofErr w:type="spellEnd"/>
          </w:p>
          <w:p w14:paraId="342A6212" w14:textId="77777777" w:rsidR="00682BCE" w:rsidRPr="0098015E" w:rsidRDefault="00682BCE" w:rsidP="0098015E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98015E">
              <w:rPr>
                <w:b/>
                <w:bCs/>
                <w:sz w:val="40"/>
                <w:szCs w:val="40"/>
              </w:rPr>
              <w:t>Work</w:t>
            </w:r>
            <w:proofErr w:type="spellEnd"/>
            <w:r w:rsidRPr="0098015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8015E">
              <w:rPr>
                <w:b/>
                <w:bCs/>
                <w:sz w:val="40"/>
                <w:szCs w:val="40"/>
              </w:rPr>
              <w:t>program</w:t>
            </w:r>
            <w:proofErr w:type="spellEnd"/>
            <w:r w:rsidRPr="0098015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8015E">
              <w:rPr>
                <w:b/>
                <w:bCs/>
                <w:sz w:val="40"/>
                <w:szCs w:val="40"/>
              </w:rPr>
              <w:t>of</w:t>
            </w:r>
            <w:proofErr w:type="spellEnd"/>
            <w:r w:rsidRPr="0098015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8015E">
              <w:rPr>
                <w:b/>
                <w:bCs/>
                <w:sz w:val="40"/>
                <w:szCs w:val="40"/>
              </w:rPr>
              <w:t>the</w:t>
            </w:r>
            <w:proofErr w:type="spellEnd"/>
            <w:r w:rsidRPr="0098015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8015E">
              <w:rPr>
                <w:b/>
                <w:bCs/>
                <w:sz w:val="40"/>
                <w:szCs w:val="40"/>
              </w:rPr>
              <w:t>discipline</w:t>
            </w:r>
            <w:proofErr w:type="spellEnd"/>
            <w:r w:rsidRPr="0098015E">
              <w:rPr>
                <w:b/>
                <w:bCs/>
                <w:sz w:val="40"/>
                <w:szCs w:val="40"/>
              </w:rPr>
              <w:t xml:space="preserve"> (</w:t>
            </w:r>
            <w:proofErr w:type="spellStart"/>
            <w:r w:rsidRPr="0098015E">
              <w:rPr>
                <w:b/>
                <w:bCs/>
                <w:sz w:val="40"/>
                <w:szCs w:val="40"/>
              </w:rPr>
              <w:t>Syllabus</w:t>
            </w:r>
            <w:proofErr w:type="spellEnd"/>
            <w:r w:rsidRPr="0098015E">
              <w:rPr>
                <w:b/>
                <w:bCs/>
                <w:sz w:val="40"/>
                <w:szCs w:val="40"/>
              </w:rPr>
              <w:t>)</w:t>
            </w:r>
          </w:p>
          <w:p w14:paraId="6A3DF1EA" w14:textId="5E67506B" w:rsidR="00F94151" w:rsidRPr="00682BCE" w:rsidRDefault="00F94151" w:rsidP="00F77FB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0E64AB83" w14:textId="77777777" w:rsidR="00F94151" w:rsidRPr="002F3288" w:rsidRDefault="00F94151" w:rsidP="00F9415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proofErr w:type="spellStart"/>
      <w:r w:rsidRPr="002F3288">
        <w:rPr>
          <w:rFonts w:ascii="Arial" w:hAnsi="Arial" w:cs="Arial"/>
        </w:rPr>
        <w:t>Details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of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the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discipline</w:t>
      </w:r>
      <w:proofErr w:type="spellEnd"/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F94151" w:rsidRPr="002F3288" w14:paraId="7E9844CC" w14:textId="77777777" w:rsidTr="00F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147EB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Level of higher education</w:t>
            </w:r>
          </w:p>
        </w:tc>
        <w:tc>
          <w:tcPr>
            <w:tcW w:w="7512" w:type="dxa"/>
          </w:tcPr>
          <w:p w14:paraId="784DAF7B" w14:textId="76CFC9BD" w:rsidR="003B1494" w:rsidRPr="002F3288" w:rsidRDefault="00F94151" w:rsidP="003B149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2F3288">
              <w:rPr>
                <w:rFonts w:ascii="Arial" w:hAnsi="Arial" w:cs="Arial"/>
                <w:i/>
                <w:sz w:val="24"/>
                <w:szCs w:val="24"/>
              </w:rPr>
              <w:t>First</w:t>
            </w:r>
            <w:proofErr w:type="spellEnd"/>
            <w:r w:rsidRPr="002F3288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2F3288">
              <w:rPr>
                <w:rFonts w:ascii="Arial" w:hAnsi="Arial" w:cs="Arial"/>
                <w:i/>
                <w:sz w:val="24"/>
                <w:szCs w:val="24"/>
              </w:rPr>
              <w:t>bachelor</w:t>
            </w:r>
            <w:proofErr w:type="spellEnd"/>
            <w:r w:rsidRPr="002F3288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</w:p>
          <w:p w14:paraId="5751F7B2" w14:textId="3684D8A0" w:rsidR="00F94151" w:rsidRPr="002F3288" w:rsidRDefault="00F94151" w:rsidP="00F77FB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94151" w:rsidRPr="002F3288" w14:paraId="5CC9D3C8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943DD9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Branch of knowledge</w:t>
            </w:r>
          </w:p>
        </w:tc>
        <w:tc>
          <w:tcPr>
            <w:tcW w:w="7512" w:type="dxa"/>
          </w:tcPr>
          <w:p w14:paraId="7C156B7F" w14:textId="77570C2B" w:rsidR="00F94151" w:rsidRPr="0098015E" w:rsidRDefault="003B1494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08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F94151" w:rsidRPr="002F3288" w14:paraId="234EC729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CE882E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Specialty</w:t>
            </w:r>
          </w:p>
        </w:tc>
        <w:tc>
          <w:tcPr>
            <w:tcW w:w="7512" w:type="dxa"/>
          </w:tcPr>
          <w:p w14:paraId="1F4B3577" w14:textId="43535052" w:rsidR="00F94151" w:rsidRPr="0098015E" w:rsidRDefault="003B1494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081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F94151" w:rsidRPr="002F3288" w14:paraId="6058ED3D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3B3AD3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Educational program</w:t>
            </w:r>
          </w:p>
        </w:tc>
        <w:tc>
          <w:tcPr>
            <w:tcW w:w="7512" w:type="dxa"/>
          </w:tcPr>
          <w:p w14:paraId="1B4C7CB5" w14:textId="405F7ED1" w:rsidR="00F94151" w:rsidRPr="0098015E" w:rsidRDefault="003B1494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F94151" w:rsidRPr="002F3288" w14:paraId="50AF45AB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9233EC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Discipline status</w:t>
            </w:r>
          </w:p>
        </w:tc>
        <w:tc>
          <w:tcPr>
            <w:tcW w:w="7512" w:type="dxa"/>
          </w:tcPr>
          <w:p w14:paraId="59DEBAC0" w14:textId="3C7E27A5" w:rsidR="00F94151" w:rsidRPr="0098015E" w:rsidRDefault="00682BCE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selective</w:t>
            </w:r>
            <w:proofErr w:type="spellEnd"/>
          </w:p>
        </w:tc>
      </w:tr>
      <w:tr w:rsidR="00F94151" w:rsidRPr="002F3288" w14:paraId="2FB021F8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109CDE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Form of study</w:t>
            </w:r>
          </w:p>
        </w:tc>
        <w:tc>
          <w:tcPr>
            <w:tcW w:w="7512" w:type="dxa"/>
          </w:tcPr>
          <w:p w14:paraId="7552AC03" w14:textId="77777777" w:rsidR="00682BCE" w:rsidRPr="0098015E" w:rsidRDefault="00682BCE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ocular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daily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6B5ED221" w14:textId="167A8525" w:rsidR="00F94151" w:rsidRPr="0098015E" w:rsidRDefault="00F94151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47F8737B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13E2D1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Year of preparation, semester</w:t>
            </w:r>
          </w:p>
        </w:tc>
        <w:tc>
          <w:tcPr>
            <w:tcW w:w="7512" w:type="dxa"/>
          </w:tcPr>
          <w:p w14:paraId="16170276" w14:textId="77777777" w:rsidR="00682BCE" w:rsidRPr="0098015E" w:rsidRDefault="00682BCE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4th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autumn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semester</w:t>
            </w:r>
            <w:proofErr w:type="spellEnd"/>
          </w:p>
          <w:p w14:paraId="7CF1167B" w14:textId="3E672584" w:rsidR="00F94151" w:rsidRPr="0098015E" w:rsidRDefault="00F94151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46B3AFC5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7306D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The scope of discipline</w:t>
            </w:r>
          </w:p>
        </w:tc>
        <w:tc>
          <w:tcPr>
            <w:tcW w:w="7512" w:type="dxa"/>
          </w:tcPr>
          <w:p w14:paraId="54D9E85A" w14:textId="67BFE51D" w:rsidR="00F94151" w:rsidRPr="0098015E" w:rsidRDefault="003B1494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4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credits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ECTS</w:t>
            </w:r>
          </w:p>
        </w:tc>
      </w:tr>
      <w:tr w:rsidR="00F94151" w:rsidRPr="002F3288" w14:paraId="19056AFD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6AE1B2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Semester control / control measures</w:t>
            </w:r>
          </w:p>
        </w:tc>
        <w:tc>
          <w:tcPr>
            <w:tcW w:w="7512" w:type="dxa"/>
          </w:tcPr>
          <w:p w14:paraId="5A029294" w14:textId="77777777" w:rsidR="00682BCE" w:rsidRPr="0098015E" w:rsidRDefault="00682BCE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Test</w:t>
            </w:r>
            <w:proofErr w:type="spellEnd"/>
          </w:p>
          <w:p w14:paraId="7D614E4A" w14:textId="63233DB1" w:rsidR="00F94151" w:rsidRPr="0098015E" w:rsidRDefault="00F94151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13913165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E63A5B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Lessons schedule</w:t>
            </w:r>
          </w:p>
        </w:tc>
        <w:tc>
          <w:tcPr>
            <w:tcW w:w="7512" w:type="dxa"/>
          </w:tcPr>
          <w:p w14:paraId="3E59BC14" w14:textId="7848462B" w:rsidR="00F94151" w:rsidRPr="0098015E" w:rsidRDefault="003B1494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http://rozklad.kpi.ua/</w:t>
            </w:r>
          </w:p>
        </w:tc>
      </w:tr>
      <w:tr w:rsidR="00F94151" w:rsidRPr="002F3288" w14:paraId="13246E62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20B94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7512" w:type="dxa"/>
          </w:tcPr>
          <w:p w14:paraId="36707425" w14:textId="4661B2EC" w:rsidR="00F94151" w:rsidRPr="0098015E" w:rsidRDefault="00F94151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Ukrainian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4151" w:rsidRPr="002F3288" w14:paraId="5714ED07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AB6F41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Information about the course leader / teachers</w:t>
            </w:r>
          </w:p>
        </w:tc>
        <w:tc>
          <w:tcPr>
            <w:tcW w:w="7512" w:type="dxa"/>
          </w:tcPr>
          <w:p w14:paraId="7659BF36" w14:textId="77777777" w:rsidR="00682BCE" w:rsidRPr="0098015E" w:rsidRDefault="00682BCE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Lecturer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Candidate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Associate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Professor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Korneev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Yuriy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Valentinovych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, Korneev310@gmail.com. 068-355-43-02 (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Telegram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0972BA" w14:textId="77777777" w:rsidR="00682BCE" w:rsidRPr="0098015E" w:rsidRDefault="00682BCE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Practical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Associate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Professor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Korneev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Yuri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Valentinovich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, Korneev310@gmail.com. 068-355-43-02 (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Telegram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DC14C0" w14:textId="7BFB64DF" w:rsidR="00F94151" w:rsidRPr="0098015E" w:rsidRDefault="00F94151" w:rsidP="0098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24681F1A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D6193B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288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2F3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3288">
              <w:rPr>
                <w:rFonts w:ascii="Arial" w:hAnsi="Arial" w:cs="Arial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7512" w:type="dxa"/>
          </w:tcPr>
          <w:p w14:paraId="2892D7A8" w14:textId="55E31E38" w:rsidR="00F94151" w:rsidRPr="0098015E" w:rsidRDefault="00F94151" w:rsidP="0098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DDE78" w14:textId="77777777" w:rsidR="00F94151" w:rsidRPr="002F3288" w:rsidRDefault="00F94151" w:rsidP="00F9415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proofErr w:type="spellStart"/>
      <w:r w:rsidRPr="002F3288">
        <w:rPr>
          <w:rFonts w:ascii="Arial" w:hAnsi="Arial" w:cs="Arial"/>
        </w:rPr>
        <w:t>The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program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of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discipline</w:t>
      </w:r>
      <w:proofErr w:type="spellEnd"/>
    </w:p>
    <w:p w14:paraId="33CFAA94" w14:textId="1AA89F77" w:rsidR="0032553D" w:rsidRPr="0098015E" w:rsidRDefault="0032553D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Description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its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purpose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subject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study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learning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outcomes</w:t>
      </w:r>
      <w:proofErr w:type="spellEnd"/>
    </w:p>
    <w:p w14:paraId="66126AEB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>"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selective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curriculum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8015E">
        <w:rPr>
          <w:rFonts w:ascii="Arial" w:hAnsi="Arial" w:cs="Arial"/>
          <w:sz w:val="24"/>
          <w:szCs w:val="24"/>
        </w:rPr>
        <w:t>cycle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professional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training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which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contributes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training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specialists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Students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gain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theoretical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knowledge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skills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abilities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field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subject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method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system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principles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sources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concept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elements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grounds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their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occurrence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concept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content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rights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their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restrictions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encumbrances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concept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content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management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concept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content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protection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public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control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protection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liability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violations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legislation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application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knowledge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solve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problems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interpretation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generalization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normative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composition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lastRenderedPageBreak/>
        <w:t>correct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application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written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oral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presentation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scientific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material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argumentation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which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will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provide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proper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professional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training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professionals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6B9CA065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accordance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with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requirements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OPP,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purpose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98015E">
        <w:rPr>
          <w:rFonts w:ascii="Arial" w:hAnsi="Arial" w:cs="Arial"/>
          <w:sz w:val="24"/>
          <w:szCs w:val="24"/>
        </w:rPr>
        <w:t>abilities</w:t>
      </w:r>
      <w:proofErr w:type="spellEnd"/>
      <w:r w:rsidRPr="0098015E">
        <w:rPr>
          <w:rFonts w:ascii="Arial" w:hAnsi="Arial" w:cs="Arial"/>
          <w:sz w:val="24"/>
          <w:szCs w:val="24"/>
        </w:rPr>
        <w:t>:</w:t>
      </w:r>
    </w:p>
    <w:p w14:paraId="64F65CFD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abstract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thinking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analysis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synthesis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(ZK-1);</w:t>
      </w:r>
    </w:p>
    <w:p w14:paraId="5A5A366B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apply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knowledge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situations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(ZK-2);</w:t>
      </w:r>
    </w:p>
    <w:p w14:paraId="51E67EE9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ability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learn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master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modern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knowledge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(ZK-7);</w:t>
      </w:r>
    </w:p>
    <w:p w14:paraId="129F9AE5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desire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preserve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environment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(ZK-15);</w:t>
      </w:r>
    </w:p>
    <w:p w14:paraId="10060C66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understand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social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nature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their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regulation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(FC-10);</w:t>
      </w:r>
    </w:p>
    <w:p w14:paraId="53166A4A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ability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analyze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problems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substantiate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positions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(FC-12);</w:t>
      </w:r>
    </w:p>
    <w:p w14:paraId="1DF86C6E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ability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critically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systematically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analyze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phenomena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apply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acquired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knowledge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professional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activities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(FC-13);</w:t>
      </w:r>
    </w:p>
    <w:p w14:paraId="5E647FBE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ability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make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assessment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understanding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features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information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(FC 21).</w:t>
      </w:r>
    </w:p>
    <w:p w14:paraId="01BE5DA9" w14:textId="25DC6DB0" w:rsidR="0032553D" w:rsidRPr="0098015E" w:rsidRDefault="0032553D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8015E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result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mastering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will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be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able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>:</w:t>
      </w:r>
    </w:p>
    <w:p w14:paraId="7F1BCBF8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independently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with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sources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legislation</w:t>
      </w:r>
      <w:proofErr w:type="spellEnd"/>
      <w:r w:rsidRPr="0098015E">
        <w:rPr>
          <w:rFonts w:ascii="Arial" w:hAnsi="Arial" w:cs="Arial"/>
          <w:sz w:val="24"/>
          <w:szCs w:val="24"/>
        </w:rPr>
        <w:t>;</w:t>
      </w:r>
    </w:p>
    <w:p w14:paraId="686CF669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resolve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situations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regarding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regulation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relations</w:t>
      </w:r>
      <w:proofErr w:type="spellEnd"/>
      <w:r w:rsidRPr="0098015E">
        <w:rPr>
          <w:rFonts w:ascii="Arial" w:hAnsi="Arial" w:cs="Arial"/>
          <w:sz w:val="24"/>
          <w:szCs w:val="24"/>
        </w:rPr>
        <w:t>;</w:t>
      </w:r>
    </w:p>
    <w:p w14:paraId="3735FABA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analyze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normative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phenomena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relations</w:t>
      </w:r>
      <w:proofErr w:type="spellEnd"/>
      <w:r w:rsidRPr="0098015E">
        <w:rPr>
          <w:rFonts w:ascii="Arial" w:hAnsi="Arial" w:cs="Arial"/>
          <w:sz w:val="24"/>
          <w:szCs w:val="24"/>
        </w:rPr>
        <w:t>;</w:t>
      </w:r>
    </w:p>
    <w:p w14:paraId="2CE09095" w14:textId="77777777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015E">
        <w:rPr>
          <w:rFonts w:ascii="Arial" w:hAnsi="Arial" w:cs="Arial"/>
          <w:sz w:val="24"/>
          <w:szCs w:val="24"/>
        </w:rPr>
        <w:t>draw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up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necessary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documents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relations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40CFC735" w14:textId="39508366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D198E2D" w14:textId="1101613D" w:rsidR="00F94151" w:rsidRPr="0098015E" w:rsidRDefault="00F94151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Prerequisites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post-requisites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place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structural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logical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scheme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education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according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relevant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educational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>)</w:t>
      </w:r>
    </w:p>
    <w:p w14:paraId="20C9891E" w14:textId="2A1F7A16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 </w:t>
      </w: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it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desirable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have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skills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text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editor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computer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skills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with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electronic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databases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legislation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6E9E042F" w14:textId="149B6DF2" w:rsidR="0032553D" w:rsidRPr="0098015E" w:rsidRDefault="0032553D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According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structural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logical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scheme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bachelor's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degree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program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it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necessary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start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studying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8015E">
        <w:rPr>
          <w:rFonts w:ascii="Arial" w:hAnsi="Arial" w:cs="Arial"/>
          <w:sz w:val="24"/>
          <w:szCs w:val="24"/>
        </w:rPr>
        <w:t>after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studying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8015E">
        <w:rPr>
          <w:rFonts w:ascii="Arial" w:hAnsi="Arial" w:cs="Arial"/>
          <w:sz w:val="24"/>
          <w:szCs w:val="24"/>
        </w:rPr>
        <w:t>Theory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State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>", "</w:t>
      </w:r>
      <w:proofErr w:type="spellStart"/>
      <w:r w:rsidRPr="0098015E">
        <w:rPr>
          <w:rFonts w:ascii="Arial" w:hAnsi="Arial" w:cs="Arial"/>
          <w:sz w:val="24"/>
          <w:szCs w:val="24"/>
        </w:rPr>
        <w:t>Administrative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>", "</w:t>
      </w:r>
      <w:proofErr w:type="spellStart"/>
      <w:r w:rsidRPr="0098015E">
        <w:rPr>
          <w:rFonts w:ascii="Arial" w:hAnsi="Arial" w:cs="Arial"/>
          <w:sz w:val="24"/>
          <w:szCs w:val="24"/>
        </w:rPr>
        <w:t>Environmental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>", "</w:t>
      </w:r>
      <w:proofErr w:type="spellStart"/>
      <w:r w:rsidRPr="0098015E">
        <w:rPr>
          <w:rFonts w:ascii="Arial" w:hAnsi="Arial" w:cs="Arial"/>
          <w:sz w:val="24"/>
          <w:szCs w:val="24"/>
        </w:rPr>
        <w:t>Commercial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>", "</w:t>
      </w:r>
      <w:proofErr w:type="spellStart"/>
      <w:r w:rsidRPr="0098015E">
        <w:rPr>
          <w:rFonts w:ascii="Arial" w:hAnsi="Arial" w:cs="Arial"/>
          <w:sz w:val="24"/>
          <w:szCs w:val="24"/>
        </w:rPr>
        <w:t>Civil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>", "</w:t>
      </w:r>
      <w:proofErr w:type="spellStart"/>
      <w:r w:rsidRPr="0098015E">
        <w:rPr>
          <w:rFonts w:ascii="Arial" w:hAnsi="Arial" w:cs="Arial"/>
          <w:sz w:val="24"/>
          <w:szCs w:val="24"/>
        </w:rPr>
        <w:t>Criminal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others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3215A870" w14:textId="0209DBC1" w:rsidR="00C8113C" w:rsidRPr="0098015E" w:rsidRDefault="00C8113C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6A52B33" w14:textId="13A26C81" w:rsidR="00F94151" w:rsidRPr="0098015E" w:rsidRDefault="00F94151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content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5808"/>
        <w:gridCol w:w="1130"/>
        <w:gridCol w:w="1137"/>
        <w:gridCol w:w="835"/>
        <w:gridCol w:w="1098"/>
      </w:tblGrid>
      <w:tr w:rsidR="001553BA" w:rsidRPr="0098015E" w14:paraId="65CAFDFB" w14:textId="77777777" w:rsidTr="0098015E">
        <w:trPr>
          <w:cantSplit/>
        </w:trPr>
        <w:tc>
          <w:tcPr>
            <w:tcW w:w="0" w:type="auto"/>
            <w:vMerge w:val="restart"/>
          </w:tcPr>
          <w:p w14:paraId="62B61A3E" w14:textId="0F28589A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808" w:type="dxa"/>
            <w:vMerge w:val="restart"/>
          </w:tcPr>
          <w:p w14:paraId="7F199709" w14:textId="6F777139" w:rsidR="00096914" w:rsidRPr="0098015E" w:rsidRDefault="001553BA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4200" w:type="dxa"/>
            <w:gridSpan w:val="4"/>
          </w:tcPr>
          <w:p w14:paraId="13C41E4C" w14:textId="2374C126" w:rsidR="00096914" w:rsidRPr="0098015E" w:rsidRDefault="001553BA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</w:p>
        </w:tc>
      </w:tr>
      <w:tr w:rsidR="001553BA" w:rsidRPr="0098015E" w14:paraId="6D729507" w14:textId="77777777" w:rsidTr="0098015E">
        <w:trPr>
          <w:cantSplit/>
        </w:trPr>
        <w:tc>
          <w:tcPr>
            <w:tcW w:w="0" w:type="auto"/>
            <w:vMerge/>
          </w:tcPr>
          <w:p w14:paraId="377E851D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vMerge/>
          </w:tcPr>
          <w:p w14:paraId="0BC577D7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1931F77" w14:textId="06F1FC40" w:rsidR="00096914" w:rsidRPr="0098015E" w:rsidRDefault="001553BA" w:rsidP="00980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137" w:type="dxa"/>
          </w:tcPr>
          <w:p w14:paraId="742AE015" w14:textId="2E25A3FD" w:rsidR="00096914" w:rsidRPr="0098015E" w:rsidRDefault="001553BA" w:rsidP="00980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Practical</w:t>
            </w:r>
            <w:proofErr w:type="spellEnd"/>
            <w:r w:rsidR="00096914"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14:paraId="2BE38D40" w14:textId="40C0076F" w:rsidR="00096914" w:rsidRPr="0098015E" w:rsidRDefault="001553BA" w:rsidP="0098015E">
            <w:pPr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SRS</w:t>
            </w:r>
          </w:p>
        </w:tc>
        <w:tc>
          <w:tcPr>
            <w:tcW w:w="1098" w:type="dxa"/>
          </w:tcPr>
          <w:p w14:paraId="53AEA165" w14:textId="77A7A2F2" w:rsidR="00096914" w:rsidRPr="0098015E" w:rsidRDefault="001553BA" w:rsidP="00980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="00096914"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53BA" w:rsidRPr="0098015E" w14:paraId="7A1E22E9" w14:textId="77777777" w:rsidTr="0098015E">
        <w:trPr>
          <w:trHeight w:val="519"/>
        </w:trPr>
        <w:tc>
          <w:tcPr>
            <w:tcW w:w="0" w:type="auto"/>
          </w:tcPr>
          <w:p w14:paraId="5FCC189D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14:paraId="15BEAEFA" w14:textId="385F3A28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1.1.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principles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methods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system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sources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DB58B" w14:textId="51A02FD9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D8A690B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1EC92C7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5BC7B695" w14:textId="7F9B883F" w:rsidR="0009691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17B44740" w14:textId="12C279E3" w:rsidR="0009691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0754" w:rsidRPr="0098015E" w14:paraId="2F631E09" w14:textId="77777777" w:rsidTr="0098015E">
        <w:tc>
          <w:tcPr>
            <w:tcW w:w="0" w:type="auto"/>
          </w:tcPr>
          <w:p w14:paraId="712E3B7A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14:paraId="1E87DBBD" w14:textId="788C8B0B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1. 2.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relations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14:paraId="5D05A625" w14:textId="6141DE1F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CC3B408" w14:textId="28FA2716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3ADE6189" w14:textId="44B9C6BB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00509B51" w14:textId="60927D53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0754" w:rsidRPr="0098015E" w14:paraId="61BDFFFD" w14:textId="77777777" w:rsidTr="0098015E">
        <w:trPr>
          <w:trHeight w:val="870"/>
        </w:trPr>
        <w:tc>
          <w:tcPr>
            <w:tcW w:w="0" w:type="auto"/>
          </w:tcPr>
          <w:p w14:paraId="08840E2D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14:paraId="71F972FD" w14:textId="5A8157EE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1.3.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management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field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use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1130" w:type="dxa"/>
          </w:tcPr>
          <w:p w14:paraId="09BD468E" w14:textId="47585268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D4865C4" w14:textId="165EFD35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1D74E22D" w14:textId="7A74618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2815A740" w14:textId="54412222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0754" w:rsidRPr="0098015E" w14:paraId="2B3838B4" w14:textId="77777777" w:rsidTr="0098015E">
        <w:trPr>
          <w:trHeight w:val="897"/>
        </w:trPr>
        <w:tc>
          <w:tcPr>
            <w:tcW w:w="0" w:type="auto"/>
          </w:tcPr>
          <w:p w14:paraId="51128086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14:paraId="2B014403" w14:textId="4761B91B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1.4.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market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turnover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plots</w:t>
            </w:r>
            <w:proofErr w:type="spellEnd"/>
          </w:p>
        </w:tc>
        <w:tc>
          <w:tcPr>
            <w:tcW w:w="1130" w:type="dxa"/>
          </w:tcPr>
          <w:p w14:paraId="6A9B0319" w14:textId="2A3ADF1C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7D2D862" w14:textId="7824D4C9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4EC3FC92" w14:textId="0F021353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4FBD4621" w14:textId="2F2011A2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0754" w:rsidRPr="0098015E" w14:paraId="377A35F3" w14:textId="77777777" w:rsidTr="0098015E">
        <w:trPr>
          <w:trHeight w:val="786"/>
        </w:trPr>
        <w:tc>
          <w:tcPr>
            <w:tcW w:w="0" w:type="auto"/>
          </w:tcPr>
          <w:p w14:paraId="26E42DA1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14:paraId="02EE0095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1.5.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protection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lands</w:t>
            </w:r>
            <w:proofErr w:type="spellEnd"/>
          </w:p>
          <w:p w14:paraId="1AB743F8" w14:textId="1314A152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3B749B4" w14:textId="06802608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993323E" w14:textId="0D57438A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0EFB42AD" w14:textId="4E5D0211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5839ABA1" w14:textId="68F0C39F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0754" w:rsidRPr="0098015E" w14:paraId="2C0958E5" w14:textId="77777777" w:rsidTr="0098015E">
        <w:trPr>
          <w:trHeight w:val="840"/>
        </w:trPr>
        <w:tc>
          <w:tcPr>
            <w:tcW w:w="0" w:type="auto"/>
          </w:tcPr>
          <w:p w14:paraId="66748BC8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14:paraId="36EABD06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1.6.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General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characteristics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ownership</w:t>
            </w:r>
            <w:proofErr w:type="spellEnd"/>
          </w:p>
          <w:p w14:paraId="0B7507B3" w14:textId="7E60518B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0" w:type="dxa"/>
          </w:tcPr>
          <w:p w14:paraId="23B5273C" w14:textId="7502D7AD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77AEEE07" w14:textId="20063018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0CEE7C74" w14:textId="62993011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342935FF" w14:textId="0CB97B08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553BA" w:rsidRPr="0098015E" w14:paraId="24E861CE" w14:textId="77777777" w:rsidTr="0098015E">
        <w:trPr>
          <w:trHeight w:val="1053"/>
        </w:trPr>
        <w:tc>
          <w:tcPr>
            <w:tcW w:w="0" w:type="auto"/>
          </w:tcPr>
          <w:p w14:paraId="7DA41A2F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8" w:type="dxa"/>
          </w:tcPr>
          <w:p w14:paraId="1B8D8AD7" w14:textId="5E89629B" w:rsidR="0009691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2.1.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use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130" w:type="dxa"/>
          </w:tcPr>
          <w:p w14:paraId="2014270F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402B32D5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5449DAB0" w14:textId="00EA6ECA" w:rsidR="0009691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30576C74" w14:textId="1B9968B9" w:rsidR="0009691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0754" w:rsidRPr="0098015E" w14:paraId="2C35937B" w14:textId="77777777" w:rsidTr="0098015E">
        <w:trPr>
          <w:trHeight w:val="847"/>
        </w:trPr>
        <w:tc>
          <w:tcPr>
            <w:tcW w:w="0" w:type="auto"/>
          </w:tcPr>
          <w:p w14:paraId="01FCD024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14:paraId="6B4F7497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2.2.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Restrictions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guarantees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</w:p>
          <w:p w14:paraId="0417EF7D" w14:textId="54E4E164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54B5166" w14:textId="2B34AA95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57E785E" w14:textId="52E1D602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6FDC7E78" w14:textId="5AE22016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78ECB701" w14:textId="07259AD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0754" w:rsidRPr="0098015E" w14:paraId="1D57A3A0" w14:textId="77777777" w:rsidTr="0098015E">
        <w:trPr>
          <w:trHeight w:val="980"/>
        </w:trPr>
        <w:tc>
          <w:tcPr>
            <w:tcW w:w="0" w:type="auto"/>
          </w:tcPr>
          <w:p w14:paraId="1E67A1BD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14:paraId="70377229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2.3.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Features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different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categories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lands</w:t>
            </w:r>
            <w:proofErr w:type="spellEnd"/>
          </w:p>
          <w:p w14:paraId="12312F35" w14:textId="1A26E35E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3ECB3EA" w14:textId="332C0A52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ABEB934" w14:textId="5221692E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71D3C546" w14:textId="6089C421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6443EFE9" w14:textId="56365090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0754" w:rsidRPr="0098015E" w14:paraId="63CA4C1E" w14:textId="77777777" w:rsidTr="0098015E">
        <w:trPr>
          <w:trHeight w:val="784"/>
        </w:trPr>
        <w:tc>
          <w:tcPr>
            <w:tcW w:w="0" w:type="auto"/>
          </w:tcPr>
          <w:p w14:paraId="462CECC5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14:paraId="306BA9E9" w14:textId="1A237D44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2.4.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use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specially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protected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lands</w:t>
            </w:r>
            <w:proofErr w:type="spellEnd"/>
          </w:p>
          <w:p w14:paraId="44840B85" w14:textId="0C9AE059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BAD1DF" w14:textId="4A6203D3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21228B5" w14:textId="13990E14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1DB099A6" w14:textId="1AAAFD1A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1B032C61" w14:textId="571BC90B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A75B1" w:rsidRPr="0098015E" w14:paraId="609B7CCC" w14:textId="77777777" w:rsidTr="0098015E">
        <w:trPr>
          <w:trHeight w:val="424"/>
        </w:trPr>
        <w:tc>
          <w:tcPr>
            <w:tcW w:w="0" w:type="auto"/>
          </w:tcPr>
          <w:p w14:paraId="62D714A8" w14:textId="77777777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14:paraId="6E7973B0" w14:textId="4D4363A8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2.5.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Liability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violation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legislation</w:t>
            </w:r>
            <w:proofErr w:type="spellEnd"/>
          </w:p>
        </w:tc>
        <w:tc>
          <w:tcPr>
            <w:tcW w:w="1130" w:type="dxa"/>
          </w:tcPr>
          <w:p w14:paraId="445821BF" w14:textId="1811DEE1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04136B24" w14:textId="1B5BF324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7801F3E1" w14:textId="4DC62643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7DF5FA97" w14:textId="1004AC13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553BA" w:rsidRPr="0098015E" w14:paraId="0839067A" w14:textId="77777777" w:rsidTr="0098015E">
        <w:trPr>
          <w:trHeight w:val="339"/>
        </w:trPr>
        <w:tc>
          <w:tcPr>
            <w:tcW w:w="0" w:type="auto"/>
          </w:tcPr>
          <w:p w14:paraId="480F8762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16C99C50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CE1F51E" w14:textId="73EDBD54" w:rsidR="0009691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2.6.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Innovations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legislation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features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reform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1130" w:type="dxa"/>
          </w:tcPr>
          <w:p w14:paraId="43854F19" w14:textId="77777777" w:rsidR="00096914" w:rsidRPr="0098015E" w:rsidRDefault="0009691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6C384BB2" w14:textId="2C58952A" w:rsidR="0009691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14:paraId="46BCCECB" w14:textId="290B9609" w:rsidR="0009691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54562793" w14:textId="17D7526F" w:rsidR="0009691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0754" w:rsidRPr="0098015E" w14:paraId="7D767006" w14:textId="77777777" w:rsidTr="0098015E">
        <w:trPr>
          <w:trHeight w:val="339"/>
        </w:trPr>
        <w:tc>
          <w:tcPr>
            <w:tcW w:w="0" w:type="auto"/>
          </w:tcPr>
          <w:p w14:paraId="3C948100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825AF46" w14:textId="49965B09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Modular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130" w:type="dxa"/>
          </w:tcPr>
          <w:p w14:paraId="48C1E04E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0C6DBF0" w14:textId="0E279524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14:paraId="77F06A97" w14:textId="4465BD9A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5D360BFA" w14:textId="295531D7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0754" w:rsidRPr="0098015E" w14:paraId="00C679AE" w14:textId="77777777" w:rsidTr="0098015E">
        <w:trPr>
          <w:trHeight w:val="339"/>
        </w:trPr>
        <w:tc>
          <w:tcPr>
            <w:tcW w:w="0" w:type="auto"/>
          </w:tcPr>
          <w:p w14:paraId="47FA31DD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BB540A6" w14:textId="77777777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Together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under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section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6457BEAE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53AF96C" w14:textId="5CE93D69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14:paraId="127F6068" w14:textId="40BC8985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14:paraId="3BA223CA" w14:textId="1BF47974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98" w:type="dxa"/>
          </w:tcPr>
          <w:p w14:paraId="5643C417" w14:textId="201EC5AE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550754" w:rsidRPr="0098015E" w14:paraId="1311A2CA" w14:textId="77777777" w:rsidTr="0098015E">
        <w:trPr>
          <w:trHeight w:val="339"/>
        </w:trPr>
        <w:tc>
          <w:tcPr>
            <w:tcW w:w="0" w:type="auto"/>
          </w:tcPr>
          <w:p w14:paraId="3A9512BB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5586DB3" w14:textId="77777777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Test</w:t>
            </w:r>
            <w:proofErr w:type="spellEnd"/>
          </w:p>
          <w:p w14:paraId="03FC5805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C96141" w14:textId="77777777" w:rsidR="00550754" w:rsidRPr="0098015E" w:rsidRDefault="00550754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2A4BF40" w14:textId="75DC5110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0549BC6B" w14:textId="20263C19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78CE07E4" w14:textId="1F91318A" w:rsidR="00550754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5B1" w:rsidRPr="0098015E" w14:paraId="7D288E7A" w14:textId="77777777" w:rsidTr="0098015E">
        <w:tc>
          <w:tcPr>
            <w:tcW w:w="6292" w:type="dxa"/>
            <w:gridSpan w:val="2"/>
          </w:tcPr>
          <w:p w14:paraId="388BE844" w14:textId="667DE372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0" w:type="dxa"/>
          </w:tcPr>
          <w:p w14:paraId="6A5A4A13" w14:textId="50C751F0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7" w:type="dxa"/>
          </w:tcPr>
          <w:p w14:paraId="24D89EC9" w14:textId="3CF32607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14:paraId="25503D5E" w14:textId="345786E6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98" w:type="dxa"/>
          </w:tcPr>
          <w:p w14:paraId="124F0968" w14:textId="317FDCCC" w:rsidR="00BA75B1" w:rsidRPr="0098015E" w:rsidRDefault="00BA75B1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14:paraId="1778E2D3" w14:textId="77777777" w:rsidR="00096914" w:rsidRPr="0098015E" w:rsidRDefault="00096914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8D6DA84" w14:textId="71512933" w:rsidR="00F94151" w:rsidRPr="0098015E" w:rsidRDefault="00F94151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Training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materials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resources</w:t>
      </w:r>
      <w:proofErr w:type="spellEnd"/>
    </w:p>
    <w:p w14:paraId="79050A75" w14:textId="67889752" w:rsidR="0028487C" w:rsidRDefault="0028487C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Basic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>:</w:t>
      </w:r>
    </w:p>
    <w:p w14:paraId="5B14C108" w14:textId="77777777" w:rsidR="0098015E" w:rsidRPr="0098015E" w:rsidRDefault="0098015E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Ecological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test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tasks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educational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methodical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manual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/ N.V. </w:t>
      </w:r>
      <w:proofErr w:type="spellStart"/>
      <w:r w:rsidRPr="0098015E">
        <w:rPr>
          <w:rFonts w:ascii="Arial" w:hAnsi="Arial" w:cs="Arial"/>
          <w:sz w:val="24"/>
          <w:szCs w:val="24"/>
        </w:rPr>
        <w:t>Wojciechowski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R.O. Гаврилюк, І.В. </w:t>
      </w:r>
      <w:proofErr w:type="spellStart"/>
      <w:r w:rsidRPr="0098015E">
        <w:rPr>
          <w:rFonts w:ascii="Arial" w:hAnsi="Arial" w:cs="Arial"/>
          <w:sz w:val="24"/>
          <w:szCs w:val="24"/>
        </w:rPr>
        <w:t>Sausages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K.A. </w:t>
      </w:r>
      <w:proofErr w:type="spellStart"/>
      <w:r w:rsidRPr="0098015E">
        <w:rPr>
          <w:rFonts w:ascii="Arial" w:hAnsi="Arial" w:cs="Arial"/>
          <w:sz w:val="24"/>
          <w:szCs w:val="24"/>
        </w:rPr>
        <w:t>Kozmulyak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8015E">
        <w:rPr>
          <w:rFonts w:ascii="Arial" w:hAnsi="Arial" w:cs="Arial"/>
          <w:sz w:val="24"/>
          <w:szCs w:val="24"/>
        </w:rPr>
        <w:t>others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]; </w:t>
      </w:r>
      <w:proofErr w:type="spellStart"/>
      <w:r w:rsidRPr="0098015E">
        <w:rPr>
          <w:rFonts w:ascii="Arial" w:hAnsi="Arial" w:cs="Arial"/>
          <w:sz w:val="24"/>
          <w:szCs w:val="24"/>
        </w:rPr>
        <w:t>edited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98015E">
        <w:rPr>
          <w:rFonts w:ascii="Arial" w:hAnsi="Arial" w:cs="Arial"/>
          <w:sz w:val="24"/>
          <w:szCs w:val="24"/>
        </w:rPr>
        <w:t>Gavrilyuk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Ministry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Education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Science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Yuriy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Fedkovych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Chernivtsi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University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Chernivtsi</w:t>
      </w:r>
      <w:proofErr w:type="spellEnd"/>
      <w:r w:rsidRPr="0098015E">
        <w:rPr>
          <w:rFonts w:ascii="Arial" w:hAnsi="Arial" w:cs="Arial"/>
          <w:sz w:val="24"/>
          <w:szCs w:val="24"/>
        </w:rPr>
        <w:t>, 2020. 279 p.</w:t>
      </w:r>
    </w:p>
    <w:p w14:paraId="463E368F" w14:textId="77777777" w:rsidR="0098015E" w:rsidRPr="0098015E" w:rsidRDefault="0098015E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textbook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8015E">
        <w:rPr>
          <w:rFonts w:ascii="Arial" w:hAnsi="Arial" w:cs="Arial"/>
          <w:sz w:val="24"/>
          <w:szCs w:val="24"/>
        </w:rPr>
        <w:t>Ye.I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Fedik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98015E">
        <w:rPr>
          <w:rFonts w:ascii="Arial" w:hAnsi="Arial" w:cs="Arial"/>
          <w:sz w:val="24"/>
          <w:szCs w:val="24"/>
        </w:rPr>
        <w:t>Fedik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R.Ye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Gentosh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IM </w:t>
      </w:r>
      <w:proofErr w:type="spellStart"/>
      <w:r w:rsidRPr="0098015E">
        <w:rPr>
          <w:rFonts w:ascii="Arial" w:hAnsi="Arial" w:cs="Arial"/>
          <w:sz w:val="24"/>
          <w:szCs w:val="24"/>
        </w:rPr>
        <w:t>Lutsky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OS </w:t>
      </w:r>
      <w:proofErr w:type="spellStart"/>
      <w:r w:rsidRPr="0098015E">
        <w:rPr>
          <w:rFonts w:ascii="Arial" w:hAnsi="Arial" w:cs="Arial"/>
          <w:sz w:val="24"/>
          <w:szCs w:val="24"/>
        </w:rPr>
        <w:t>Coil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Lviv</w:t>
      </w:r>
      <w:proofErr w:type="spellEnd"/>
      <w:r w:rsidRPr="0098015E">
        <w:rPr>
          <w:rFonts w:ascii="Arial" w:hAnsi="Arial" w:cs="Arial"/>
          <w:sz w:val="24"/>
          <w:szCs w:val="24"/>
        </w:rPr>
        <w:t>, 2019. 217 p.</w:t>
      </w:r>
    </w:p>
    <w:p w14:paraId="5BBFDFF1" w14:textId="77777777" w:rsidR="0098015E" w:rsidRPr="0098015E" w:rsidRDefault="0098015E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schemes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tables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98015E">
        <w:rPr>
          <w:rFonts w:ascii="Arial" w:hAnsi="Arial" w:cs="Arial"/>
          <w:sz w:val="24"/>
          <w:szCs w:val="24"/>
        </w:rPr>
        <w:t>textbook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/ N.I. </w:t>
      </w:r>
      <w:proofErr w:type="spellStart"/>
      <w:r w:rsidRPr="0098015E">
        <w:rPr>
          <w:rFonts w:ascii="Arial" w:hAnsi="Arial" w:cs="Arial"/>
          <w:sz w:val="24"/>
          <w:szCs w:val="24"/>
        </w:rPr>
        <w:t>Duravkin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Ministry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Internal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Affairs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Kharkiv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University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Internal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Affairs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Sumy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Branch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Sumy</w:t>
      </w:r>
      <w:proofErr w:type="spellEnd"/>
      <w:r w:rsidRPr="0098015E">
        <w:rPr>
          <w:rFonts w:ascii="Arial" w:hAnsi="Arial" w:cs="Arial"/>
          <w:sz w:val="24"/>
          <w:szCs w:val="24"/>
        </w:rPr>
        <w:t>, 2018. 99 p.</w:t>
      </w:r>
    </w:p>
    <w:p w14:paraId="6AFF1224" w14:textId="77777777" w:rsidR="0098015E" w:rsidRPr="0098015E" w:rsidRDefault="0098015E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textbook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8015E">
        <w:rPr>
          <w:rFonts w:ascii="Arial" w:hAnsi="Arial" w:cs="Arial"/>
          <w:sz w:val="24"/>
          <w:szCs w:val="24"/>
        </w:rPr>
        <w:t>Bychkova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SS, </w:t>
      </w:r>
      <w:proofErr w:type="spellStart"/>
      <w:r w:rsidRPr="0098015E">
        <w:rPr>
          <w:rFonts w:ascii="Arial" w:hAnsi="Arial" w:cs="Arial"/>
          <w:sz w:val="24"/>
          <w:szCs w:val="24"/>
        </w:rPr>
        <w:t>Burlaka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OS, </w:t>
      </w:r>
      <w:proofErr w:type="spellStart"/>
      <w:r w:rsidRPr="0098015E">
        <w:rPr>
          <w:rFonts w:ascii="Arial" w:hAnsi="Arial" w:cs="Arial"/>
          <w:sz w:val="24"/>
          <w:szCs w:val="24"/>
        </w:rPr>
        <w:t>Verenkiotova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OV, </w:t>
      </w:r>
      <w:proofErr w:type="spellStart"/>
      <w:r w:rsidRPr="0098015E">
        <w:rPr>
          <w:rFonts w:ascii="Arial" w:hAnsi="Arial" w:cs="Arial"/>
          <w:sz w:val="24"/>
          <w:szCs w:val="24"/>
        </w:rPr>
        <w:t>Kalinyuk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AL, [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98015E">
        <w:rPr>
          <w:rFonts w:ascii="Arial" w:hAnsi="Arial" w:cs="Arial"/>
          <w:sz w:val="24"/>
          <w:szCs w:val="24"/>
        </w:rPr>
        <w:t>others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]; </w:t>
      </w:r>
      <w:proofErr w:type="spellStart"/>
      <w:r w:rsidRPr="0098015E">
        <w:rPr>
          <w:rFonts w:ascii="Arial" w:hAnsi="Arial" w:cs="Arial"/>
          <w:sz w:val="24"/>
          <w:szCs w:val="24"/>
        </w:rPr>
        <w:t>edited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VP </w:t>
      </w:r>
      <w:proofErr w:type="spellStart"/>
      <w:r w:rsidRPr="0098015E">
        <w:rPr>
          <w:rFonts w:ascii="Arial" w:hAnsi="Arial" w:cs="Arial"/>
          <w:sz w:val="24"/>
          <w:szCs w:val="24"/>
        </w:rPr>
        <w:t>Mironenko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Ministry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Internal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Affairs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; </w:t>
      </w:r>
      <w:proofErr w:type="spellStart"/>
      <w:r w:rsidRPr="0098015E">
        <w:rPr>
          <w:rFonts w:ascii="Arial" w:hAnsi="Arial" w:cs="Arial"/>
          <w:sz w:val="24"/>
          <w:szCs w:val="24"/>
        </w:rPr>
        <w:t>National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Academy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Internal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Affairs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Kyiv</w:t>
      </w:r>
      <w:proofErr w:type="spellEnd"/>
      <w:r w:rsidRPr="0098015E">
        <w:rPr>
          <w:rFonts w:ascii="Arial" w:hAnsi="Arial" w:cs="Arial"/>
          <w:sz w:val="24"/>
          <w:szCs w:val="24"/>
        </w:rPr>
        <w:t>, 2018. 349p.</w:t>
      </w:r>
    </w:p>
    <w:p w14:paraId="7E221FBE" w14:textId="68B018CD" w:rsidR="0098015E" w:rsidRDefault="0098015E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Acquisition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implementation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rights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98015E">
        <w:rPr>
          <w:rFonts w:ascii="Arial" w:hAnsi="Arial" w:cs="Arial"/>
          <w:sz w:val="24"/>
          <w:szCs w:val="24"/>
        </w:rPr>
        <w:t>textbook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/ [A.Y. </w:t>
      </w:r>
      <w:proofErr w:type="spellStart"/>
      <w:r w:rsidRPr="0098015E">
        <w:rPr>
          <w:rFonts w:ascii="Arial" w:hAnsi="Arial" w:cs="Arial"/>
          <w:sz w:val="24"/>
          <w:szCs w:val="24"/>
        </w:rPr>
        <w:t>Godovanyuk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others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]; </w:t>
      </w:r>
      <w:proofErr w:type="spellStart"/>
      <w:r w:rsidRPr="0098015E">
        <w:rPr>
          <w:rFonts w:ascii="Arial" w:hAnsi="Arial" w:cs="Arial"/>
          <w:sz w:val="24"/>
          <w:szCs w:val="24"/>
        </w:rPr>
        <w:t>edited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98015E">
        <w:rPr>
          <w:rFonts w:ascii="Arial" w:hAnsi="Arial" w:cs="Arial"/>
          <w:sz w:val="24"/>
          <w:szCs w:val="24"/>
        </w:rPr>
        <w:t>Karakasha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Ministry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Education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Science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Ukraine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National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University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8015E">
        <w:rPr>
          <w:rFonts w:ascii="Arial" w:hAnsi="Arial" w:cs="Arial"/>
          <w:sz w:val="24"/>
          <w:szCs w:val="24"/>
        </w:rPr>
        <w:t>Odessa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Academy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98015E">
        <w:rPr>
          <w:rFonts w:ascii="Arial" w:hAnsi="Arial" w:cs="Arial"/>
          <w:sz w:val="24"/>
          <w:szCs w:val="24"/>
        </w:rPr>
        <w:t>Odessa</w:t>
      </w:r>
      <w:proofErr w:type="spellEnd"/>
      <w:r w:rsidRPr="0098015E">
        <w:rPr>
          <w:rFonts w:ascii="Arial" w:hAnsi="Arial" w:cs="Arial"/>
          <w:sz w:val="24"/>
          <w:szCs w:val="24"/>
        </w:rPr>
        <w:t>, 2016. 328 p.</w:t>
      </w:r>
    </w:p>
    <w:p w14:paraId="46B46FB3" w14:textId="77777777" w:rsidR="0098015E" w:rsidRPr="0098015E" w:rsidRDefault="0098015E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E975FED" w14:textId="77777777" w:rsidR="00F94151" w:rsidRPr="0098015E" w:rsidRDefault="00F94151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Policy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control</w:t>
      </w:r>
      <w:proofErr w:type="spellEnd"/>
    </w:p>
    <w:p w14:paraId="5DFCD997" w14:textId="132E1034" w:rsidR="002B714B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Studying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subject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must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know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1)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conceptual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level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theoretical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doctrinal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provisions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theory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2)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fundamental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level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history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formation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development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legislation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paradigm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methodology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3)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creative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level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methods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solving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lastRenderedPageBreak/>
        <w:t>problems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5 - </w:t>
      </w:r>
      <w:proofErr w:type="spellStart"/>
      <w:r w:rsidRPr="0098015E">
        <w:rPr>
          <w:rFonts w:ascii="Arial" w:hAnsi="Arial" w:cs="Arial"/>
          <w:sz w:val="24"/>
          <w:szCs w:val="24"/>
        </w:rPr>
        <w:t>be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able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1)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reproductive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level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reproduce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basic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concepts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structures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solve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tests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perform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individual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tasks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2) </w:t>
      </w:r>
      <w:proofErr w:type="spellStart"/>
      <w:r w:rsidRPr="0098015E">
        <w:rPr>
          <w:rFonts w:ascii="Arial" w:hAnsi="Arial" w:cs="Arial"/>
          <w:sz w:val="24"/>
          <w:szCs w:val="24"/>
        </w:rPr>
        <w:t>algorithmic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level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apply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general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special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algorithms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analysis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institutions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independently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with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regulations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3)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heuristic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level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analyze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provisions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institutions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use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data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science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solve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professional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problems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master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basic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skills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legislation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4)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creative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level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015E">
        <w:rPr>
          <w:rFonts w:ascii="Arial" w:hAnsi="Arial" w:cs="Arial"/>
          <w:sz w:val="24"/>
          <w:szCs w:val="24"/>
        </w:rPr>
        <w:t>exhaustively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logically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creatively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present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information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orally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writing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8015E">
        <w:rPr>
          <w:rFonts w:ascii="Arial" w:hAnsi="Arial" w:cs="Arial"/>
          <w:sz w:val="24"/>
          <w:szCs w:val="24"/>
        </w:rPr>
        <w:t>thoroughly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express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discuss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while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linking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theoretical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material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69305D20" w14:textId="77777777" w:rsidR="0098015E" w:rsidRPr="0098015E" w:rsidRDefault="0098015E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77A564D" w14:textId="40EEF724" w:rsidR="002B714B" w:rsidRPr="0098015E" w:rsidRDefault="002B714B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Evaluation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system</w:t>
      </w:r>
      <w:proofErr w:type="spellEnd"/>
    </w:p>
    <w:p w14:paraId="7B4D8111" w14:textId="7F718457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student's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rating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consists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points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obtained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>:</w:t>
      </w:r>
    </w:p>
    <w:p w14:paraId="675D52BF" w14:textId="77777777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98015E">
        <w:rPr>
          <w:rFonts w:ascii="Arial" w:hAnsi="Arial" w:cs="Arial"/>
          <w:sz w:val="24"/>
          <w:szCs w:val="24"/>
        </w:rPr>
        <w:t>answers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additions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seminars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solving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test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tasks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situations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process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discussion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seminars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writing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module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test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76706AEA" w14:textId="35C06CA9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will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receive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highest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rating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actively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participates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seminars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mostly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provides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complete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reasoned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answers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logically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presents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expresses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own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position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debatable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issues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states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position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clearly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logically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justifies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properly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08C057C4" w14:textId="31DE019F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Missed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classes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inaccuracies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incompleteness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errors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answers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violations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established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requirements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logic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teaching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cause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decrease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ratings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55F3A5A9" w14:textId="2CF107AE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order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prepare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well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seminar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should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lecture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material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other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sources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more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widely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reveal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issues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mentioned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seminar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can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get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acquainted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with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topics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lectures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questions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submitted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seminar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program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015E">
        <w:rPr>
          <w:rFonts w:ascii="Arial" w:hAnsi="Arial" w:cs="Arial"/>
          <w:sz w:val="24"/>
          <w:szCs w:val="24"/>
        </w:rPr>
        <w:t>syllabus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8015E">
        <w:rPr>
          <w:rFonts w:ascii="Arial" w:hAnsi="Arial" w:cs="Arial"/>
          <w:sz w:val="24"/>
          <w:szCs w:val="24"/>
        </w:rPr>
        <w:t>which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located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8015E">
        <w:rPr>
          <w:rFonts w:ascii="Arial" w:hAnsi="Arial" w:cs="Arial"/>
          <w:sz w:val="24"/>
          <w:szCs w:val="24"/>
        </w:rPr>
        <w:t>Campus</w:t>
      </w:r>
      <w:proofErr w:type="spellEnd"/>
      <w:r w:rsidRPr="0098015E">
        <w:rPr>
          <w:rFonts w:ascii="Arial" w:hAnsi="Arial" w:cs="Arial"/>
          <w:sz w:val="24"/>
          <w:szCs w:val="24"/>
        </w:rPr>
        <w:t>".</w:t>
      </w:r>
    </w:p>
    <w:p w14:paraId="66C40662" w14:textId="0BF316B1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teacher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evaluates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student's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each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lesson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but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specific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total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number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points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practical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lessons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teacher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during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first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second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stages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intermediate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certification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8015E">
        <w:rPr>
          <w:rFonts w:ascii="Arial" w:hAnsi="Arial" w:cs="Arial"/>
          <w:sz w:val="24"/>
          <w:szCs w:val="24"/>
        </w:rPr>
        <w:t>according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University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schedule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All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results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brought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seminar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entered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8015E">
        <w:rPr>
          <w:rFonts w:ascii="Arial" w:hAnsi="Arial" w:cs="Arial"/>
          <w:sz w:val="24"/>
          <w:szCs w:val="24"/>
        </w:rPr>
        <w:t>Campus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98015E">
        <w:rPr>
          <w:rFonts w:ascii="Arial" w:hAnsi="Arial" w:cs="Arial"/>
          <w:sz w:val="24"/>
          <w:szCs w:val="24"/>
        </w:rPr>
        <w:t>where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can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check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through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personal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account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44FD364F" w14:textId="07BA33CF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More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specific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criteria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assessing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learning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outcomes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are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out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RSO </w:t>
      </w:r>
      <w:proofErr w:type="spellStart"/>
      <w:r w:rsidRPr="0098015E">
        <w:rPr>
          <w:rFonts w:ascii="Arial" w:hAnsi="Arial" w:cs="Arial"/>
          <w:sz w:val="24"/>
          <w:szCs w:val="24"/>
        </w:rPr>
        <w:t>provision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subject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which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annex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Program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411953EF" w14:textId="0D6245D3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case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disagreement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with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assessment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teacher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may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appeal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assessment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submitting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complaint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teacher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later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than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next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day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after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acquainting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with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grade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given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teacher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complaint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will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considered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according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procedures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established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university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2434791B" w14:textId="77777777" w:rsidR="002B714B" w:rsidRPr="0098015E" w:rsidRDefault="002B714B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A0F77B6" w14:textId="77777777" w:rsidR="002B714B" w:rsidRPr="0098015E" w:rsidRDefault="002B714B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System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rating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weight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points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evaluation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criteria</w:t>
      </w:r>
      <w:proofErr w:type="spellEnd"/>
    </w:p>
    <w:p w14:paraId="2419C050" w14:textId="28CA5303" w:rsidR="002B714B" w:rsidRPr="0098015E" w:rsidRDefault="00A725D2" w:rsidP="0098015E">
      <w:pPr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2B714B" w:rsidRPr="0098015E">
        <w:rPr>
          <w:rFonts w:ascii="Arial" w:hAnsi="Arial" w:cs="Arial"/>
          <w:sz w:val="24"/>
          <w:szCs w:val="24"/>
        </w:rPr>
        <w:t>Table</w:t>
      </w:r>
      <w:proofErr w:type="spellEnd"/>
      <w:r w:rsidR="002B714B" w:rsidRPr="0098015E">
        <w:rPr>
          <w:rFonts w:ascii="Arial" w:hAnsi="Arial" w:cs="Arial"/>
          <w:sz w:val="24"/>
          <w:szCs w:val="24"/>
        </w:rPr>
        <w:t xml:space="preserve"> 8.1</w:t>
      </w:r>
    </w:p>
    <w:p w14:paraId="74DF6A7C" w14:textId="77777777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3644"/>
      </w:tblGrid>
      <w:tr w:rsidR="00A725D2" w:rsidRPr="0098015E" w14:paraId="6CAF5100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6CAC" w14:textId="6E0BFA0F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educational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7F1" w14:textId="7D4656F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points</w:t>
            </w:r>
            <w:proofErr w:type="spellEnd"/>
          </w:p>
        </w:tc>
      </w:tr>
      <w:tr w:rsidR="00A725D2" w:rsidRPr="0098015E" w14:paraId="299472BF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EEF" w14:textId="193D9952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seminars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( 7 балів х 12)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9E3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A725D2" w:rsidRPr="0098015E" w14:paraId="35117F50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D597" w14:textId="39F02FD0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Modular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D147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725D2" w:rsidRPr="0098015E" w14:paraId="72E5C2C4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F6E7" w14:textId="55246E59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module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№ 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E9C2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725D2" w:rsidRPr="0098015E" w14:paraId="6EFB69D7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CCD1" w14:textId="5057F696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241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A05136E" w14:textId="77777777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3E65620" w14:textId="21081446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 </w:t>
      </w:r>
      <w:r w:rsidRPr="0098015E">
        <w:rPr>
          <w:rFonts w:ascii="Arial" w:hAnsi="Arial" w:cs="Arial"/>
          <w:sz w:val="24"/>
          <w:szCs w:val="24"/>
        </w:rPr>
        <w:tab/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completed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type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educational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credited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student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received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positive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grade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015E">
        <w:rPr>
          <w:rFonts w:ascii="Arial" w:hAnsi="Arial" w:cs="Arial"/>
          <w:sz w:val="24"/>
          <w:szCs w:val="24"/>
        </w:rPr>
        <w:t>national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scale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015E">
        <w:rPr>
          <w:rFonts w:ascii="Arial" w:hAnsi="Arial" w:cs="Arial"/>
          <w:sz w:val="24"/>
          <w:szCs w:val="24"/>
        </w:rPr>
        <w:t>Table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8.2).</w:t>
      </w:r>
    </w:p>
    <w:p w14:paraId="668307A7" w14:textId="77777777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Table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8.2</w:t>
      </w:r>
    </w:p>
    <w:p w14:paraId="4BC98AFA" w14:textId="77777777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Correspondence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rating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assessments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for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certain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types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educational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work</w:t>
      </w:r>
      <w:proofErr w:type="spellEnd"/>
    </w:p>
    <w:p w14:paraId="0DE57596" w14:textId="77777777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lastRenderedPageBreak/>
        <w:t>in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points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national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scale</w:t>
      </w:r>
      <w:proofErr w:type="spellEnd"/>
    </w:p>
    <w:p w14:paraId="7FE868D2" w14:textId="4DFE7AE6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725D2" w:rsidRPr="0098015E" w14:paraId="2DD95493" w14:textId="77777777" w:rsidTr="001F469F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E10" w14:textId="3F771788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Rating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points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FC1D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Score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scale</w:t>
            </w:r>
            <w:proofErr w:type="spellEnd"/>
          </w:p>
          <w:p w14:paraId="2B95D356" w14:textId="4CA654BC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25D2" w:rsidRPr="0098015E" w14:paraId="2FA03464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6588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criterion</w:t>
            </w:r>
            <w:proofErr w:type="spellEnd"/>
          </w:p>
          <w:p w14:paraId="058E4613" w14:textId="2A290736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F7A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practical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Execution</w:t>
            </w:r>
            <w:proofErr w:type="spellEnd"/>
          </w:p>
          <w:p w14:paraId="3E2302FF" w14:textId="47290F1A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8C1" w14:textId="4401EBB1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Modular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  <w:p w14:paraId="4A2262B6" w14:textId="4A18B6DC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07E52" w14:textId="3C98B9F3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B0B" w14:textId="6CD7DAD0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D8E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8015E" w14:paraId="4D58916F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AD8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execution</w:t>
            </w:r>
            <w:proofErr w:type="spellEnd"/>
          </w:p>
          <w:p w14:paraId="3006B812" w14:textId="53EF1332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58EB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80-84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E2B3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15-16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0C4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95-100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C6ED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Perfectly</w:t>
            </w:r>
            <w:proofErr w:type="spellEnd"/>
          </w:p>
          <w:p w14:paraId="34020A79" w14:textId="29CF0425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8015E" w14:paraId="704C57AE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EA7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Execution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complete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but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undisclosed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aspects</w:t>
            </w:r>
            <w:proofErr w:type="spellEnd"/>
          </w:p>
          <w:p w14:paraId="59D0221E" w14:textId="6E7E1C62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CE17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72- 80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F22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65C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85-94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00C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Very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</w:p>
          <w:p w14:paraId="6F06BB4C" w14:textId="2B5DB0E6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8015E" w14:paraId="3385CE5B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4B66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incomplete</w:t>
            </w:r>
            <w:proofErr w:type="spellEnd"/>
          </w:p>
          <w:p w14:paraId="3BCC9ED4" w14:textId="716C0FF6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528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64-72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96B8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362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75-84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31C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Fine</w:t>
            </w:r>
            <w:proofErr w:type="spellEnd"/>
          </w:p>
          <w:p w14:paraId="5F78ACB0" w14:textId="0A09F435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8015E" w14:paraId="0E8CAB58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43E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satisfactory</w:t>
            </w:r>
            <w:proofErr w:type="spellEnd"/>
          </w:p>
          <w:p w14:paraId="2F4A3A8C" w14:textId="715DCECA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DD42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57-64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2FF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832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65-74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BA6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Satisfactorily</w:t>
            </w:r>
            <w:proofErr w:type="spellEnd"/>
          </w:p>
          <w:p w14:paraId="18EB1B8D" w14:textId="524C3F41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8015E" w14:paraId="16D4047C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C1F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</w:p>
          <w:p w14:paraId="45960E82" w14:textId="40BB627F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C44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55-57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AC8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 5-7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879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60-64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1EE7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Enough</w:t>
            </w:r>
            <w:proofErr w:type="spellEnd"/>
          </w:p>
          <w:p w14:paraId="2D2F9E2E" w14:textId="72EEBB5F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8015E" w14:paraId="0DE994E3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4DAB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insufficient</w:t>
            </w:r>
            <w:proofErr w:type="spellEnd"/>
          </w:p>
          <w:p w14:paraId="5EBCBE3F" w14:textId="4C7DE169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4F61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&gt;55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0392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 xml:space="preserve">&gt;5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EE2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&gt; 60</w:t>
            </w:r>
          </w:p>
          <w:p w14:paraId="64777B95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8876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Unsatisfactorily</w:t>
            </w:r>
            <w:proofErr w:type="spellEnd"/>
          </w:p>
          <w:p w14:paraId="56CCE7E8" w14:textId="5E0E9A4E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8015E" w14:paraId="33DF7486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AB8D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prepared</w:t>
            </w:r>
            <w:proofErr w:type="spellEnd"/>
          </w:p>
          <w:p w14:paraId="550187A1" w14:textId="08EB4A3D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A0C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10B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EF1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0754" w14:textId="77777777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allowed</w:t>
            </w:r>
            <w:proofErr w:type="spellEnd"/>
          </w:p>
          <w:p w14:paraId="380BB304" w14:textId="3F1BDD71" w:rsidR="00A725D2" w:rsidRPr="0098015E" w:rsidRDefault="00A725D2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60AE1" w14:textId="77777777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C9E240C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weight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points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control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measures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during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semester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: RD = 100 </w:t>
      </w:r>
      <w:proofErr w:type="spellStart"/>
      <w:r w:rsidRPr="0098015E">
        <w:rPr>
          <w:rFonts w:ascii="Arial" w:hAnsi="Arial" w:cs="Arial"/>
          <w:sz w:val="24"/>
          <w:szCs w:val="24"/>
        </w:rPr>
        <w:t>points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39D9BF38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 </w:t>
      </w:r>
    </w:p>
    <w:p w14:paraId="71899F88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sum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points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transferred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credit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assessment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according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to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table</w:t>
      </w:r>
      <w:proofErr w:type="spellEnd"/>
      <w:r w:rsidRPr="0098015E">
        <w:rPr>
          <w:rFonts w:ascii="Arial" w:hAnsi="Arial" w:cs="Arial"/>
          <w:sz w:val="24"/>
          <w:szCs w:val="24"/>
        </w:rPr>
        <w:t>.</w:t>
      </w:r>
    </w:p>
    <w:p w14:paraId="5C7A8B84" w14:textId="4DEC48E2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395"/>
      </w:tblGrid>
      <w:tr w:rsidR="00A725D2" w:rsidRPr="0098015E" w14:paraId="26CB577B" w14:textId="77777777" w:rsidTr="00D00DFF">
        <w:trPr>
          <w:cantSplit/>
          <w:trHeight w:val="26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20A4" w14:textId="047839A7" w:rsidR="00A725D2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Rating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points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>, RD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DAE" w14:textId="1055FD8A" w:rsidR="00A725D2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Assessment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scale</w:t>
            </w:r>
            <w:proofErr w:type="spellEnd"/>
          </w:p>
        </w:tc>
      </w:tr>
      <w:tr w:rsidR="00D00DFF" w:rsidRPr="0098015E" w14:paraId="3377DF20" w14:textId="77777777" w:rsidTr="00D00DFF">
        <w:trPr>
          <w:cantSplit/>
          <w:trHeight w:val="239"/>
          <w:jc w:val="center"/>
        </w:trPr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D728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95 ≤ RD ≤ 100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12B1" w14:textId="3A82A0A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Perfectly</w:t>
            </w:r>
            <w:proofErr w:type="spellEnd"/>
          </w:p>
        </w:tc>
      </w:tr>
      <w:tr w:rsidR="00D00DFF" w:rsidRPr="0098015E" w14:paraId="4D4AE07F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ABC3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85 ≤ RD ≤ 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2936" w14:textId="569BDADD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Very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</w:p>
        </w:tc>
      </w:tr>
      <w:tr w:rsidR="00D00DFF" w:rsidRPr="0098015E" w14:paraId="488FCF0E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6D8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75 ≤ RD ≤ 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BD16" w14:textId="0748F83F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Fine</w:t>
            </w:r>
            <w:proofErr w:type="spellEnd"/>
          </w:p>
        </w:tc>
      </w:tr>
      <w:tr w:rsidR="00D00DFF" w:rsidRPr="0098015E" w14:paraId="1A069E5F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32AA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65 ≤ RD ≤ 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0C9" w14:textId="5845AB76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Satisfactorily</w:t>
            </w:r>
            <w:proofErr w:type="spellEnd"/>
          </w:p>
        </w:tc>
      </w:tr>
      <w:tr w:rsidR="00D00DFF" w:rsidRPr="0098015E" w14:paraId="3BD28B83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3B4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60 ≤ RD ≤ 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A4EB" w14:textId="4FDD6260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Enough</w:t>
            </w:r>
            <w:proofErr w:type="spellEnd"/>
          </w:p>
        </w:tc>
      </w:tr>
      <w:tr w:rsidR="00D00DFF" w:rsidRPr="0098015E" w14:paraId="5A9F301B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E6A7" w14:textId="77777777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15E">
              <w:rPr>
                <w:rFonts w:ascii="Arial" w:hAnsi="Arial" w:cs="Arial"/>
                <w:sz w:val="24"/>
                <w:szCs w:val="24"/>
              </w:rPr>
              <w:t>RD&lt; 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41C6" w14:textId="42B980CF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Unsatisfactorily</w:t>
            </w:r>
            <w:proofErr w:type="spellEnd"/>
          </w:p>
        </w:tc>
      </w:tr>
      <w:tr w:rsidR="00D00DFF" w:rsidRPr="0098015E" w14:paraId="1DE1958B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5A38" w14:textId="03E41CB5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Failure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comply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conditions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admission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semester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EB16" w14:textId="536EDD9E" w:rsidR="00D00DFF" w:rsidRPr="0098015E" w:rsidRDefault="00D00DFF" w:rsidP="009801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9801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015E">
              <w:rPr>
                <w:rFonts w:ascii="Arial" w:hAnsi="Arial" w:cs="Arial"/>
                <w:sz w:val="24"/>
                <w:szCs w:val="24"/>
              </w:rPr>
              <w:t>allowed</w:t>
            </w:r>
            <w:proofErr w:type="spellEnd"/>
          </w:p>
        </w:tc>
      </w:tr>
    </w:tbl>
    <w:p w14:paraId="7232B45C" w14:textId="77777777" w:rsidR="00A725D2" w:rsidRPr="0098015E" w:rsidRDefault="00A725D2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42D7221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5675AF1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Work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8015E">
        <w:rPr>
          <w:rFonts w:ascii="Arial" w:hAnsi="Arial" w:cs="Arial"/>
          <w:b/>
          <w:bCs/>
          <w:sz w:val="24"/>
          <w:szCs w:val="24"/>
        </w:rPr>
        <w:t>syllabus</w:t>
      </w:r>
      <w:proofErr w:type="spellEnd"/>
      <w:r w:rsidRPr="0098015E">
        <w:rPr>
          <w:rFonts w:ascii="Arial" w:hAnsi="Arial" w:cs="Arial"/>
          <w:b/>
          <w:bCs/>
          <w:sz w:val="24"/>
          <w:szCs w:val="24"/>
        </w:rPr>
        <w:t>):</w:t>
      </w:r>
    </w:p>
    <w:p w14:paraId="56B76D2F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35730E2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Compiled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Associate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Professor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Information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Economic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Administrative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Ph.D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98015E">
        <w:rPr>
          <w:rFonts w:ascii="Arial" w:hAnsi="Arial" w:cs="Arial"/>
          <w:sz w:val="24"/>
          <w:szCs w:val="24"/>
        </w:rPr>
        <w:t>Associate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Professor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Korneev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Yuri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Valentinovich</w:t>
      </w:r>
      <w:proofErr w:type="spellEnd"/>
    </w:p>
    <w:p w14:paraId="6448B83C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2FB2A7D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Approved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Department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Information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015E">
        <w:rPr>
          <w:rFonts w:ascii="Arial" w:hAnsi="Arial" w:cs="Arial"/>
          <w:sz w:val="24"/>
          <w:szCs w:val="24"/>
        </w:rPr>
        <w:t>Economic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and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Administrative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Law</w:t>
      </w:r>
      <w:proofErr w:type="spellEnd"/>
    </w:p>
    <w:p w14:paraId="6899D5D3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>(</w:t>
      </w:r>
      <w:proofErr w:type="spellStart"/>
      <w:r w:rsidRPr="0098015E">
        <w:rPr>
          <w:rFonts w:ascii="Arial" w:hAnsi="Arial" w:cs="Arial"/>
          <w:sz w:val="24"/>
          <w:szCs w:val="24"/>
        </w:rPr>
        <w:t>Minutes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№ ___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____________)</w:t>
      </w:r>
    </w:p>
    <w:p w14:paraId="54D0C9EF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0ACE660" w14:textId="77777777" w:rsidR="00D00DFF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015E">
        <w:rPr>
          <w:rFonts w:ascii="Arial" w:hAnsi="Arial" w:cs="Arial"/>
          <w:sz w:val="24"/>
          <w:szCs w:val="24"/>
        </w:rPr>
        <w:t>Approved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by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Methodical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Council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of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the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15E">
        <w:rPr>
          <w:rFonts w:ascii="Arial" w:hAnsi="Arial" w:cs="Arial"/>
          <w:sz w:val="24"/>
          <w:szCs w:val="24"/>
        </w:rPr>
        <w:t>University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015E">
        <w:rPr>
          <w:rFonts w:ascii="Arial" w:hAnsi="Arial" w:cs="Arial"/>
          <w:sz w:val="24"/>
          <w:szCs w:val="24"/>
        </w:rPr>
        <w:t>protocol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№ __ </w:t>
      </w:r>
      <w:proofErr w:type="spellStart"/>
      <w:r w:rsidRPr="0098015E">
        <w:rPr>
          <w:rFonts w:ascii="Arial" w:hAnsi="Arial" w:cs="Arial"/>
          <w:sz w:val="24"/>
          <w:szCs w:val="24"/>
        </w:rPr>
        <w:t>from</w:t>
      </w:r>
      <w:proofErr w:type="spellEnd"/>
      <w:r w:rsidRPr="0098015E">
        <w:rPr>
          <w:rFonts w:ascii="Arial" w:hAnsi="Arial" w:cs="Arial"/>
          <w:sz w:val="24"/>
          <w:szCs w:val="24"/>
        </w:rPr>
        <w:t xml:space="preserve"> _____________)</w:t>
      </w:r>
    </w:p>
    <w:p w14:paraId="7A18CCD5" w14:textId="68DFC47E" w:rsidR="00A725D2" w:rsidRPr="0098015E" w:rsidRDefault="00D00DFF" w:rsidP="009801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015E">
        <w:rPr>
          <w:rFonts w:ascii="Arial" w:hAnsi="Arial" w:cs="Arial"/>
          <w:sz w:val="24"/>
          <w:szCs w:val="24"/>
        </w:rPr>
        <w:t xml:space="preserve"> </w:t>
      </w:r>
    </w:p>
    <w:p w14:paraId="386C6EE9" w14:textId="77777777" w:rsidR="002B714B" w:rsidRPr="0098015E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  <w:lang w:val="en-US"/>
        </w:rPr>
      </w:pPr>
    </w:p>
    <w:p w14:paraId="32E7B670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7E4EBFB3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2E1D2E24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07FD526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320E3E1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8BE4771" w14:textId="49369674" w:rsidR="00F94151" w:rsidRPr="002F3288" w:rsidRDefault="00A725D2" w:rsidP="00F9415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482E81" w14:textId="77777777" w:rsidR="002E48D8" w:rsidRPr="002F3288" w:rsidRDefault="002E48D8">
      <w:pPr>
        <w:rPr>
          <w:rFonts w:ascii="Arial" w:hAnsi="Arial" w:cs="Arial"/>
          <w:sz w:val="24"/>
          <w:szCs w:val="24"/>
        </w:rPr>
      </w:pPr>
    </w:p>
    <w:sectPr w:rsidR="002E48D8" w:rsidRPr="002F328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078"/>
    <w:multiLevelType w:val="hybridMultilevel"/>
    <w:tmpl w:val="2F1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082"/>
    <w:multiLevelType w:val="hybridMultilevel"/>
    <w:tmpl w:val="B250465C"/>
    <w:lvl w:ilvl="0" w:tplc="4DE24B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51"/>
    <w:rsid w:val="00096914"/>
    <w:rsid w:val="001553BA"/>
    <w:rsid w:val="0028487C"/>
    <w:rsid w:val="002B714B"/>
    <w:rsid w:val="002E48D8"/>
    <w:rsid w:val="002F3288"/>
    <w:rsid w:val="0032553D"/>
    <w:rsid w:val="00393493"/>
    <w:rsid w:val="003A7122"/>
    <w:rsid w:val="003B1494"/>
    <w:rsid w:val="004236F5"/>
    <w:rsid w:val="0042797A"/>
    <w:rsid w:val="00466A58"/>
    <w:rsid w:val="0047694F"/>
    <w:rsid w:val="00550754"/>
    <w:rsid w:val="00606CF7"/>
    <w:rsid w:val="00617FBB"/>
    <w:rsid w:val="00682BCE"/>
    <w:rsid w:val="006B5DDF"/>
    <w:rsid w:val="006E3380"/>
    <w:rsid w:val="00701341"/>
    <w:rsid w:val="00712AD6"/>
    <w:rsid w:val="00731604"/>
    <w:rsid w:val="007D0AA2"/>
    <w:rsid w:val="00826343"/>
    <w:rsid w:val="00882F61"/>
    <w:rsid w:val="008E300A"/>
    <w:rsid w:val="009257EB"/>
    <w:rsid w:val="0098015E"/>
    <w:rsid w:val="00A725D2"/>
    <w:rsid w:val="00AC691D"/>
    <w:rsid w:val="00B173F3"/>
    <w:rsid w:val="00BA75B1"/>
    <w:rsid w:val="00C15A63"/>
    <w:rsid w:val="00C4281A"/>
    <w:rsid w:val="00C8113C"/>
    <w:rsid w:val="00D00DFF"/>
    <w:rsid w:val="00D151A8"/>
    <w:rsid w:val="00D32595"/>
    <w:rsid w:val="00DA7A53"/>
    <w:rsid w:val="00EC3094"/>
    <w:rsid w:val="00EF65A2"/>
    <w:rsid w:val="00F334BC"/>
    <w:rsid w:val="00F609A8"/>
    <w:rsid w:val="00F94151"/>
    <w:rsid w:val="00FA2F30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C558"/>
  <w15:docId w15:val="{2324731D-405E-4D53-A14E-9A499EF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51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94151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151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F941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F94151"/>
    <w:pPr>
      <w:ind w:left="720"/>
      <w:contextualSpacing/>
    </w:pPr>
  </w:style>
  <w:style w:type="table" w:customStyle="1" w:styleId="-211">
    <w:name w:val="Таблица-сетка 2 — акцент 11"/>
    <w:basedOn w:val="a2"/>
    <w:uiPriority w:val="47"/>
    <w:rsid w:val="00F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42">
    <w:name w:val="Заголовок №4 (2)_"/>
    <w:basedOn w:val="a1"/>
    <w:link w:val="420"/>
    <w:uiPriority w:val="99"/>
    <w:rsid w:val="00096914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96914"/>
    <w:pPr>
      <w:widowControl w:val="0"/>
      <w:shd w:val="clear" w:color="auto" w:fill="FFFFFF"/>
      <w:spacing w:after="120" w:line="264" w:lineRule="exact"/>
      <w:jc w:val="center"/>
      <w:outlineLvl w:val="3"/>
    </w:pPr>
    <w:rPr>
      <w:rFonts w:ascii="Calibri" w:hAnsi="Calibri" w:cs="Calibri"/>
      <w:b/>
      <w:bCs/>
      <w:spacing w:val="4"/>
      <w:sz w:val="22"/>
      <w:szCs w:val="22"/>
      <w:lang w:val="ru-RU"/>
    </w:rPr>
  </w:style>
  <w:style w:type="character" w:customStyle="1" w:styleId="420pt5">
    <w:name w:val="Заголовок №4 (2) + Інтервал 0 pt5"/>
    <w:basedOn w:val="42"/>
    <w:uiPriority w:val="99"/>
    <w:rsid w:val="00096914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m-2880384059590901887gmail-40">
    <w:name w:val="m_-2880384059590901887gmail-40"/>
    <w:basedOn w:val="a"/>
    <w:rsid w:val="000969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-2880384059590901887gmail-411pt">
    <w:name w:val="m_-2880384059590901887gmail-411pt"/>
    <w:basedOn w:val="a1"/>
    <w:rsid w:val="00096914"/>
  </w:style>
  <w:style w:type="paragraph" w:customStyle="1" w:styleId="m-2684530915930850879gmail-40">
    <w:name w:val="m_-2684530915930850879gmail-40"/>
    <w:basedOn w:val="a"/>
    <w:rsid w:val="000969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5">
    <w:name w:val="Hyperlink"/>
    <w:basedOn w:val="a1"/>
    <w:rsid w:val="0028487C"/>
    <w:rPr>
      <w:color w:val="0563C1" w:themeColor="hyperlink"/>
      <w:u w:val="single"/>
    </w:rPr>
  </w:style>
  <w:style w:type="paragraph" w:styleId="a6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7"/>
    <w:unhideWhenUsed/>
    <w:rsid w:val="0028487C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6"/>
    <w:rsid w:val="0028487C"/>
    <w:rPr>
      <w:rFonts w:ascii="Times New Roman" w:hAnsi="Times New Roman" w:cs="Times New Roman"/>
      <w:sz w:val="20"/>
      <w:szCs w:val="20"/>
      <w:lang w:val="uk-UA"/>
    </w:rPr>
  </w:style>
  <w:style w:type="paragraph" w:styleId="a8">
    <w:name w:val="Body Text"/>
    <w:basedOn w:val="a"/>
    <w:link w:val="a9"/>
    <w:rsid w:val="0028487C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28487C"/>
    <w:rPr>
      <w:rFonts w:ascii="Arial" w:eastAsia="Times New Roman" w:hAnsi="Arial" w:cs="Arial"/>
      <w:bCs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82BCE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8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2B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682BCE"/>
  </w:style>
  <w:style w:type="paragraph" w:styleId="3">
    <w:name w:val="Body Text Indent 3"/>
    <w:basedOn w:val="a"/>
    <w:link w:val="30"/>
    <w:unhideWhenUsed/>
    <w:rsid w:val="00A72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725D2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Home</cp:lastModifiedBy>
  <cp:revision>10</cp:revision>
  <dcterms:created xsi:type="dcterms:W3CDTF">2021-08-25T07:40:00Z</dcterms:created>
  <dcterms:modified xsi:type="dcterms:W3CDTF">2021-09-19T19:33:00Z</dcterms:modified>
</cp:coreProperties>
</file>