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6146FB">
        <w:trPr>
          <w:trHeight w:val="557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A58723C" w:rsidR="00AE41A6" w:rsidRPr="008148A3" w:rsidRDefault="006146FB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господарського та адміністративного права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4DF629F" w14:textId="3BE4665A" w:rsidR="00B22E57" w:rsidRDefault="00B22E57" w:rsidP="004A6336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Практика Європейського суду</w:t>
            </w:r>
            <w:r w:rsidR="00405C9F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з прав людини</w:t>
            </w:r>
          </w:p>
          <w:p w14:paraId="46D36ADD" w14:textId="5E649CC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2E4BAAB" w:rsidR="004A6336" w:rsidRPr="00A2798C" w:rsidRDefault="004A6336" w:rsidP="006146F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0EEF61AD" w:rsidR="004A6336" w:rsidRPr="0030530B" w:rsidRDefault="0030530B" w:rsidP="003053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08 </w:t>
            </w: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Право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D3E0F0F" w:rsidR="004A6336" w:rsidRPr="0030530B" w:rsidRDefault="006146FB" w:rsidP="006146F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>081 Право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EFAE3F5" w:rsidR="004A6336" w:rsidRPr="0030530B" w:rsidRDefault="006146FB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>Право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167DD7D1" w:rsidR="004A6336" w:rsidRPr="0030530B" w:rsidRDefault="00CF497D" w:rsidP="002C68E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Обов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’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язкова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5111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6D6FB8E8" w:rsidR="00894491" w:rsidRPr="009246C5" w:rsidRDefault="00306C33" w:rsidP="006146F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30530B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  <w:r w:rsidR="009246C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/</w:t>
            </w:r>
            <w:r w:rsidR="009246C5">
              <w:rPr>
                <w:rFonts w:asciiTheme="minorHAnsi" w:hAnsiTheme="minorHAnsi"/>
                <w:i/>
                <w:sz w:val="22"/>
                <w:szCs w:val="22"/>
              </w:rPr>
              <w:t>заочна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5111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A462058" w:rsidR="007244E1" w:rsidRPr="0030530B" w:rsidRDefault="006146FB" w:rsidP="00405C9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405C9F">
              <w:rPr>
                <w:rFonts w:asciiTheme="minorHAnsi" w:hAnsiTheme="minorHAnsi"/>
                <w:i/>
                <w:sz w:val="22"/>
                <w:szCs w:val="22"/>
              </w:rPr>
              <w:t xml:space="preserve"> курс, весняний </w:t>
            </w:r>
            <w:r w:rsidR="007244E1" w:rsidRPr="0030530B">
              <w:rPr>
                <w:rFonts w:asciiTheme="minorHAnsi" w:hAnsiTheme="minorHAnsi"/>
                <w:i/>
                <w:sz w:val="22"/>
                <w:szCs w:val="22"/>
              </w:rPr>
              <w:t>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F128063" w:rsidR="004A6336" w:rsidRPr="0030530B" w:rsidRDefault="006146F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>90</w:t>
            </w:r>
            <w:r w:rsidR="00D41DCE">
              <w:rPr>
                <w:rFonts w:asciiTheme="minorHAnsi" w:hAnsiTheme="minorHAnsi"/>
                <w:i/>
                <w:sz w:val="22"/>
                <w:szCs w:val="22"/>
              </w:rPr>
              <w:t xml:space="preserve"> год, 3 кредити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5111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9247B40" w:rsidR="007244E1" w:rsidRPr="008E5CC0" w:rsidRDefault="00405C9F" w:rsidP="005111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  <w:r w:rsidR="008E5CC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/</w:t>
            </w:r>
            <w:r w:rsidR="008E5CC0">
              <w:rPr>
                <w:rFonts w:asciiTheme="minorHAnsi" w:hAnsiTheme="minorHAnsi"/>
                <w:i/>
                <w:sz w:val="22"/>
                <w:szCs w:val="22"/>
              </w:rPr>
              <w:t>МКР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5326B8E" w:rsidR="004A6336" w:rsidRPr="00A2798C" w:rsidRDefault="006146F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146F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http://rozklad.kpi.ua/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52037EA" w:rsidR="004A6336" w:rsidRPr="0030530B" w:rsidRDefault="00306C33" w:rsidP="006146F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0530B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281789C6" w:rsidR="004A6336" w:rsidRPr="00FA6FF3" w:rsidRDefault="00D82DA7" w:rsidP="0061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>Лектор</w:t>
            </w:r>
            <w:r w:rsidR="004A6336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405C9F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доктор</w:t>
            </w:r>
            <w:r w:rsidR="006146FB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юридичних наук</w:t>
            </w:r>
            <w:r w:rsidR="004A6336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6E07FE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доцент, </w:t>
            </w:r>
            <w:r w:rsidR="00405C9F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професор </w:t>
            </w:r>
            <w:r w:rsidR="006E07FE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кафедри господарського та адміністративного права </w:t>
            </w:r>
            <w:r w:rsidR="00405C9F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>Кравчук Олексій Олегович</w:t>
            </w:r>
            <w:r w:rsidR="006146FB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>, e-mail</w:t>
            </w:r>
            <w:r w:rsidR="006146FB" w:rsidRPr="00FA6FF3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:</w:t>
            </w:r>
            <w:r w:rsidR="006146FB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hyperlink r:id="rId13" w:history="1">
              <w:r w:rsidR="00405C9F" w:rsidRPr="00FA6FF3">
                <w:rPr>
                  <w:rStyle w:val="a5"/>
                  <w:rFonts w:asciiTheme="minorHAnsi" w:hAnsiTheme="minorHAnsi" w:cstheme="minorHAnsi"/>
                  <w:i/>
                  <w:color w:val="auto"/>
                  <w:spacing w:val="5"/>
                  <w:sz w:val="22"/>
                  <w:szCs w:val="22"/>
                  <w:u w:val="none"/>
                </w:rPr>
                <w:t>o.kravchuk@kpi.ua</w:t>
              </w:r>
            </w:hyperlink>
          </w:p>
          <w:p w14:paraId="1D513C6D" w14:textId="4256760B" w:rsidR="004A6336" w:rsidRPr="00FA6FF3" w:rsidRDefault="004A6336" w:rsidP="0061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A6FF3">
              <w:rPr>
                <w:rFonts w:asciiTheme="minorHAnsi" w:hAnsiTheme="minorHAnsi"/>
                <w:i/>
                <w:sz w:val="22"/>
                <w:szCs w:val="22"/>
              </w:rPr>
              <w:t>Практичні / Семінарські</w:t>
            </w:r>
            <w:r w:rsidR="006E07FE" w:rsidRPr="00FA6FF3">
              <w:rPr>
                <w:rFonts w:asciiTheme="minorHAnsi" w:hAnsiTheme="minorHAnsi"/>
                <w:i/>
                <w:sz w:val="22"/>
                <w:szCs w:val="22"/>
              </w:rPr>
              <w:t xml:space="preserve"> заняття</w:t>
            </w:r>
            <w:r w:rsidRPr="00FA6FF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6146FB" w:rsidRPr="00FA6FF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6146FB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викладач </w:t>
            </w:r>
            <w:r w:rsidR="006E07FE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кафедри господарського та адміністративного права </w:t>
            </w:r>
            <w:r w:rsidR="006146FB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>Кухарчук Анастасія Миколаївна</w:t>
            </w:r>
            <w:r w:rsidR="0030530B" w:rsidRPr="00FA6FF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e-mail: </w:t>
            </w:r>
            <w:r w:rsidR="00EC5EA8" w:rsidRPr="00EC5EA8">
              <w:rPr>
                <w:rFonts w:asciiTheme="minorHAnsi" w:hAnsiTheme="minorHAnsi" w:cstheme="minorHAnsi"/>
                <w:sz w:val="22"/>
                <w:szCs w:val="22"/>
              </w:rPr>
              <w:t>kukharchuk.anastasiia@lll.kpi.ua</w:t>
            </w:r>
          </w:p>
          <w:p w14:paraId="5087E867" w14:textId="6B102761" w:rsidR="004A6336" w:rsidRPr="006146FB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47DB32E2" w:rsidR="007E3190" w:rsidRPr="005251A5" w:rsidRDefault="007E3190" w:rsidP="00405C9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22DE2A3D" w14:textId="3DBF1FC6" w:rsidR="00405C9F" w:rsidRPr="0054477B" w:rsidRDefault="004D1575" w:rsidP="0054477B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40072673" w14:textId="77777777" w:rsidR="00405C9F" w:rsidRPr="00A7032F" w:rsidRDefault="00405C9F" w:rsidP="0054477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32F">
        <w:rPr>
          <w:rFonts w:asciiTheme="minorHAnsi" w:hAnsiTheme="minorHAnsi" w:cstheme="minorHAnsi"/>
          <w:sz w:val="22"/>
          <w:szCs w:val="22"/>
        </w:rPr>
        <w:t>В курсі практики Європейського суду з прав людини вивчаються основні підходи до тлумачення Європейським судом Європейської Конвенції про захист прав людини і основоположних свобод та прецедентна практика суду з окремих статей Конвенції щодо захисту. Вивчаються практичні аспекти застосування прецедентної практики (case law) Європейського суду з прав людини в юридичній практиці в Україні.</w:t>
      </w:r>
    </w:p>
    <w:p w14:paraId="454DD3CD" w14:textId="0518C31B" w:rsidR="002B5F16" w:rsidRDefault="00405C9F" w:rsidP="001B2EA9">
      <w:pPr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b/>
          <w:sz w:val="22"/>
          <w:szCs w:val="22"/>
        </w:rPr>
        <w:t>Основна мета</w:t>
      </w:r>
      <w:r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CF497D">
        <w:rPr>
          <w:rFonts w:asciiTheme="minorHAnsi" w:hAnsiTheme="minorHAnsi" w:cstheme="minorHAnsi"/>
          <w:sz w:val="22"/>
          <w:szCs w:val="22"/>
        </w:rPr>
        <w:t>спрямована</w:t>
      </w:r>
      <w:r w:rsidR="00CF497D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1B2EA9" w:rsidRPr="001B2EA9">
        <w:rPr>
          <w:rFonts w:asciiTheme="minorHAnsi" w:eastAsia="Batang" w:hAnsiTheme="minorHAnsi" w:cstheme="minorHAnsi"/>
          <w:sz w:val="22"/>
          <w:szCs w:val="22"/>
        </w:rPr>
        <w:t xml:space="preserve">на поглиблення таких </w:t>
      </w:r>
      <w:r w:rsidR="001B2EA9" w:rsidRPr="001B2EA9">
        <w:rPr>
          <w:rFonts w:asciiTheme="minorHAnsi" w:eastAsia="Batang" w:hAnsiTheme="minorHAnsi" w:cstheme="minorHAnsi"/>
          <w:b/>
          <w:sz w:val="22"/>
          <w:szCs w:val="22"/>
        </w:rPr>
        <w:t>загальних компетентностей,</w:t>
      </w:r>
      <w:r w:rsidR="001B2EA9" w:rsidRPr="001B2EA9">
        <w:rPr>
          <w:rFonts w:asciiTheme="minorHAnsi" w:eastAsia="Batang" w:hAnsiTheme="minorHAnsi" w:cstheme="minorHAnsi"/>
          <w:sz w:val="22"/>
          <w:szCs w:val="22"/>
        </w:rPr>
        <w:t xml:space="preserve"> як: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до абстрактного мислення, аналізу та синтезу;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діяти на основі етичних міркувань (мотивів);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реалізувати свої права і обов’язки як члена сусп</w:t>
      </w:r>
      <w:r w:rsidR="00A7032F" w:rsidRPr="001B2EA9">
        <w:rPr>
          <w:rFonts w:asciiTheme="minorHAnsi" w:hAnsiTheme="minorHAnsi" w:cstheme="minorHAnsi"/>
          <w:sz w:val="22"/>
          <w:szCs w:val="22"/>
        </w:rPr>
        <w:t xml:space="preserve">ільства, усвідомлювати цінності </w:t>
      </w:r>
      <w:r w:rsidR="002B5F16" w:rsidRPr="001B2EA9">
        <w:rPr>
          <w:rFonts w:asciiTheme="minorHAnsi" w:hAnsiTheme="minorHAnsi" w:cstheme="minorHAnsi"/>
          <w:sz w:val="22"/>
          <w:szCs w:val="22"/>
        </w:rPr>
        <w:t>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усвідомлювати рівні можливості та гендерні проблеми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2B5F16" w:rsidRPr="001B2EA9">
        <w:rPr>
          <w:rFonts w:asciiTheme="minorHAnsi" w:hAnsiTheme="minorHAnsi" w:cstheme="minorHAnsi"/>
          <w:sz w:val="22"/>
          <w:szCs w:val="22"/>
        </w:rPr>
        <w:t xml:space="preserve"> Цінування та повага різноманітності і мультикультурності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; а також </w:t>
      </w:r>
      <w:r w:rsidR="001B2EA9" w:rsidRPr="001B2EA9">
        <w:rPr>
          <w:rFonts w:asciiTheme="minorHAnsi" w:hAnsiTheme="minorHAnsi" w:cstheme="minorHAnsi"/>
          <w:b/>
          <w:sz w:val="22"/>
          <w:szCs w:val="22"/>
        </w:rPr>
        <w:t>ф</w:t>
      </w:r>
      <w:r w:rsidR="001B2EA9" w:rsidRPr="001B2EA9">
        <w:rPr>
          <w:rFonts w:asciiTheme="minorHAnsi" w:hAnsiTheme="minorHAnsi" w:cstheme="minorHAnsi"/>
          <w:b/>
          <w:sz w:val="22"/>
          <w:szCs w:val="22"/>
          <w:lang w:eastAsia="ru-RU"/>
        </w:rPr>
        <w:t>ахових компетентностей</w:t>
      </w:r>
      <w:r w:rsidR="00A7032F" w:rsidRPr="001B2EA9">
        <w:rPr>
          <w:rFonts w:asciiTheme="minorHAnsi" w:hAnsiTheme="minorHAnsi" w:cstheme="minorHAnsi"/>
          <w:b/>
          <w:sz w:val="22"/>
          <w:szCs w:val="22"/>
          <w:lang w:eastAsia="ru-RU"/>
        </w:rPr>
        <w:t>:</w:t>
      </w:r>
      <w:r w:rsidR="001B2EA9" w:rsidRPr="001B2EA9">
        <w:rPr>
          <w:rFonts w:asciiTheme="minorHAnsi" w:hAnsiTheme="minorHAnsi" w:cstheme="minorHAnsi"/>
          <w:b/>
          <w:sz w:val="22"/>
          <w:szCs w:val="22"/>
          <w:lang w:eastAsia="ru-RU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поважати честь і гідність людини як найвищої соціальної цінності, розуміння їх правової природи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розуміти міжнародні стандарти прав людини, положень Конв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енції про захист прав людини та </w:t>
      </w:r>
      <w:r w:rsidR="002B5F16" w:rsidRPr="001B2EA9">
        <w:rPr>
          <w:rFonts w:asciiTheme="minorHAnsi" w:hAnsiTheme="minorHAnsi" w:cstheme="minorHAnsi"/>
          <w:sz w:val="22"/>
          <w:szCs w:val="22"/>
        </w:rPr>
        <w:t>основоположних свобод, а також практики Європейського суду з прав людини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визначати належні та прийнятні для юридичного аналізу факти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аналізувати правові проблеми, формувати та обґрунтовувати правові позиції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до критичного та системного аналізу правових явищ і застосування набутих знань у професійній діяльності</w:t>
      </w:r>
      <w:r w:rsidR="00A7032F" w:rsidRPr="001B2EA9">
        <w:rPr>
          <w:rFonts w:asciiTheme="minorHAnsi" w:hAnsiTheme="minorHAnsi" w:cstheme="minorHAnsi"/>
          <w:sz w:val="22"/>
          <w:szCs w:val="22"/>
        </w:rPr>
        <w:t>;</w:t>
      </w:r>
      <w:r w:rsidR="001B2EA9"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="002B5F16" w:rsidRPr="001B2EA9">
        <w:rPr>
          <w:rFonts w:asciiTheme="minorHAnsi" w:hAnsiTheme="minorHAnsi" w:cstheme="minorHAnsi"/>
          <w:sz w:val="22"/>
          <w:szCs w:val="22"/>
        </w:rPr>
        <w:t>Здатність до логічного, критичного і системного аналізу документів, розуміння їх правового характеру і значення</w:t>
      </w:r>
      <w:r w:rsidR="00A7032F" w:rsidRPr="001B2EA9">
        <w:rPr>
          <w:rFonts w:asciiTheme="minorHAnsi" w:hAnsiTheme="minorHAnsi" w:cstheme="minorHAnsi"/>
          <w:sz w:val="22"/>
          <w:szCs w:val="22"/>
        </w:rPr>
        <w:t>.</w:t>
      </w:r>
    </w:p>
    <w:p w14:paraId="2201A233" w14:textId="08D737B4" w:rsidR="00CF497D" w:rsidRDefault="00CF497D" w:rsidP="001B2EA9">
      <w:pPr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За результатами вивчення навчальної дисципліни студенти мають досягти таких програмних результатів:</w:t>
      </w: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4"/>
      </w:tblGrid>
      <w:tr w:rsidR="00CF497D" w:rsidRPr="00CF497D" w14:paraId="7416D3F2" w14:textId="77777777" w:rsidTr="009D6EA8">
        <w:trPr>
          <w:cantSplit/>
          <w:trHeight w:val="19"/>
        </w:trPr>
        <w:tc>
          <w:tcPr>
            <w:tcW w:w="10074" w:type="dxa"/>
            <w:shd w:val="clear" w:color="auto" w:fill="auto"/>
          </w:tcPr>
          <w:p w14:paraId="3A5899F3" w14:textId="77777777" w:rsidR="00CF497D" w:rsidRPr="00CF497D" w:rsidRDefault="00CF497D" w:rsidP="00CF497D">
            <w:pPr>
              <w:pStyle w:val="afb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</w:rPr>
              <w:t>Визначати переконливість аргументів у процесі оцінки заздалегідь невідомих умов та обставин</w:t>
            </w:r>
          </w:p>
        </w:tc>
      </w:tr>
      <w:tr w:rsidR="00CF497D" w:rsidRPr="00CF497D" w14:paraId="3477A10C" w14:textId="77777777" w:rsidTr="009D6EA8">
        <w:trPr>
          <w:cantSplit/>
          <w:trHeight w:val="19"/>
        </w:trPr>
        <w:tc>
          <w:tcPr>
            <w:tcW w:w="10074" w:type="dxa"/>
            <w:shd w:val="clear" w:color="auto" w:fill="auto"/>
          </w:tcPr>
          <w:p w14:paraId="2ACDCE7F" w14:textId="77777777" w:rsidR="00CF497D" w:rsidRPr="00CF497D" w:rsidRDefault="00CF497D" w:rsidP="00CF497D">
            <w:pPr>
              <w:pStyle w:val="afb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Здійснювати аналіз суспільних процесів у контексті аналізованої проблеми і демонструвати власне бачення шляхів її розв’язання</w:t>
            </w:r>
          </w:p>
        </w:tc>
      </w:tr>
      <w:tr w:rsidR="00CF497D" w:rsidRPr="00CF497D" w14:paraId="4002FF9F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2B10" w14:textId="77777777" w:rsidR="00CF497D" w:rsidRPr="00CF497D" w:rsidRDefault="00CF497D" w:rsidP="00CF497D">
            <w:pPr>
              <w:pStyle w:val="afb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</w:rPr>
              <w:t>Формулювати власні обґрунтовані судження на основі аналізу відомої проблеми</w:t>
            </w:r>
          </w:p>
        </w:tc>
      </w:tr>
      <w:tr w:rsidR="00CF497D" w:rsidRPr="00CF497D" w14:paraId="211888C2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4583" w14:textId="77777777" w:rsidR="00CF497D" w:rsidRPr="00CF497D" w:rsidRDefault="00CF497D" w:rsidP="00CF497D">
            <w:pPr>
              <w:pStyle w:val="afb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</w:rPr>
              <w:t>Давати короткий висновок щодо окремих фактичних обставин (даних) з достатньою обґрунтованістю</w:t>
            </w:r>
          </w:p>
        </w:tc>
      </w:tr>
      <w:tr w:rsidR="00CF497D" w:rsidRPr="00CF497D" w14:paraId="425FC099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4FF8" w14:textId="77777777" w:rsidR="00CF497D" w:rsidRPr="00CF497D" w:rsidRDefault="00CF497D" w:rsidP="00CF497D">
            <w:pPr>
              <w:pStyle w:val="afb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</w:rPr>
              <w:t>Оцінювати недоліки і переваги аргументів, аналізуючи відому проблему</w:t>
            </w:r>
          </w:p>
        </w:tc>
      </w:tr>
      <w:tr w:rsidR="00CF497D" w:rsidRPr="00CF497D" w14:paraId="55D5FD6C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8FCF" w14:textId="77777777" w:rsidR="00CF497D" w:rsidRPr="00CF497D" w:rsidRDefault="00CF497D" w:rsidP="00CF497D">
            <w:pPr>
              <w:pStyle w:val="afb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</w:rPr>
              <w:t>Пояснювати характер певних подій та процесів з розумінням професійного та суспільного контексту</w:t>
            </w:r>
          </w:p>
        </w:tc>
      </w:tr>
      <w:tr w:rsidR="00CF497D" w:rsidRPr="00CF497D" w14:paraId="67851729" w14:textId="77777777" w:rsidTr="009D6EA8">
        <w:trPr>
          <w:cantSplit/>
          <w:trHeight w:val="19"/>
        </w:trPr>
        <w:tc>
          <w:tcPr>
            <w:tcW w:w="10074" w:type="dxa"/>
            <w:shd w:val="clear" w:color="auto" w:fill="auto"/>
          </w:tcPr>
          <w:p w14:paraId="0D67F094" w14:textId="77777777" w:rsidR="00CF497D" w:rsidRPr="00CF497D" w:rsidRDefault="00CF497D" w:rsidP="00CF497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</w:t>
            </w:r>
          </w:p>
        </w:tc>
      </w:tr>
      <w:tr w:rsidR="00CF497D" w:rsidRPr="00CF497D" w14:paraId="760689EA" w14:textId="77777777" w:rsidTr="009D6EA8">
        <w:trPr>
          <w:cantSplit/>
          <w:trHeight w:val="19"/>
        </w:trPr>
        <w:tc>
          <w:tcPr>
            <w:tcW w:w="10074" w:type="dxa"/>
            <w:shd w:val="clear" w:color="auto" w:fill="auto"/>
          </w:tcPr>
          <w:p w14:paraId="77D65EFA" w14:textId="77777777" w:rsidR="00CF497D" w:rsidRPr="00CF497D" w:rsidRDefault="00CF497D" w:rsidP="00CF497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</w:t>
            </w:r>
          </w:p>
        </w:tc>
      </w:tr>
      <w:tr w:rsidR="00CF497D" w:rsidRPr="00CF497D" w14:paraId="5049CA8A" w14:textId="77777777" w:rsidTr="009D6EA8">
        <w:trPr>
          <w:cantSplit/>
          <w:trHeight w:val="19"/>
        </w:trPr>
        <w:tc>
          <w:tcPr>
            <w:tcW w:w="10074" w:type="dxa"/>
            <w:shd w:val="clear" w:color="auto" w:fill="auto"/>
          </w:tcPr>
          <w:p w14:paraId="73E5C1D4" w14:textId="77777777" w:rsidR="00CF497D" w:rsidRPr="00CF497D" w:rsidRDefault="00CF497D" w:rsidP="00CF497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Пояснювати природу та зміст основних правових явищ і процесів</w:t>
            </w:r>
          </w:p>
        </w:tc>
      </w:tr>
      <w:tr w:rsidR="00CF497D" w:rsidRPr="00CF497D" w14:paraId="2CBAAD44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F8F5" w14:textId="77777777" w:rsidR="00CF497D" w:rsidRPr="00CF497D" w:rsidRDefault="00CF497D" w:rsidP="00CF497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</w:t>
            </w:r>
          </w:p>
        </w:tc>
      </w:tr>
      <w:tr w:rsidR="00CF497D" w:rsidRPr="00CF497D" w14:paraId="5E6CFE04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D083" w14:textId="77777777" w:rsidR="00CF497D" w:rsidRPr="00CF497D" w:rsidRDefault="00CF497D" w:rsidP="00CF497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</w:t>
            </w:r>
          </w:p>
        </w:tc>
      </w:tr>
      <w:tr w:rsidR="00CF497D" w:rsidRPr="00CF497D" w14:paraId="0CB8B1D1" w14:textId="77777777" w:rsidTr="009D6EA8">
        <w:trPr>
          <w:cantSplit/>
          <w:trHeight w:val="19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C3C9" w14:textId="77777777" w:rsidR="00CF497D" w:rsidRPr="00CF497D" w:rsidRDefault="00CF497D" w:rsidP="00CF497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CF497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</w:t>
            </w:r>
          </w:p>
        </w:tc>
      </w:tr>
    </w:tbl>
    <w:p w14:paraId="179E34E3" w14:textId="77AA9EFA" w:rsidR="00405C9F" w:rsidRPr="001B2EA9" w:rsidRDefault="00405C9F" w:rsidP="0054477B">
      <w:pPr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Студенти після засвоєння навчальної дисципліни мають продемонструвати</w:t>
      </w:r>
      <w:r w:rsidR="00CF497D">
        <w:rPr>
          <w:rFonts w:asciiTheme="minorHAnsi" w:hAnsiTheme="minorHAnsi" w:cstheme="minorHAnsi"/>
          <w:sz w:val="22"/>
          <w:szCs w:val="22"/>
        </w:rPr>
        <w:t>:</w:t>
      </w:r>
    </w:p>
    <w:p w14:paraId="2B5F9D5E" w14:textId="77777777" w:rsidR="00405C9F" w:rsidRPr="001B2EA9" w:rsidRDefault="00405C9F" w:rsidP="0054477B">
      <w:pPr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EA9">
        <w:rPr>
          <w:rFonts w:asciiTheme="minorHAnsi" w:hAnsiTheme="minorHAnsi" w:cstheme="minorHAnsi"/>
          <w:b/>
          <w:sz w:val="22"/>
          <w:szCs w:val="22"/>
        </w:rPr>
        <w:t>Знання:</w:t>
      </w:r>
    </w:p>
    <w:p w14:paraId="0E24DBC5" w14:textId="77777777" w:rsidR="00405C9F" w:rsidRPr="001B2EA9" w:rsidRDefault="00405C9F" w:rsidP="00155301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 xml:space="preserve">Юридична природа Конвенції </w:t>
      </w:r>
      <w:r w:rsidRPr="001B2EA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про захист прав людини і основоположних свобод (далі – Конвенція) </w:t>
      </w:r>
      <w:r w:rsidRPr="001B2EA9">
        <w:rPr>
          <w:rFonts w:asciiTheme="minorHAnsi" w:hAnsiTheme="minorHAnsi" w:cstheme="minorHAnsi"/>
          <w:sz w:val="22"/>
          <w:szCs w:val="22"/>
        </w:rPr>
        <w:t>і практики ЄСПЛ.</w:t>
      </w:r>
    </w:p>
    <w:p w14:paraId="370FC605" w14:textId="77777777" w:rsidR="00405C9F" w:rsidRPr="001B2EA9" w:rsidRDefault="00405C9F" w:rsidP="00155301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Природа прав людини і основоположних свобод на основі розуміння сутності змісту основного права, розмежування поняття права і свободи, категорії «втручання» та змісту трискладового тесту.</w:t>
      </w:r>
    </w:p>
    <w:p w14:paraId="732C8328" w14:textId="77777777" w:rsidR="00405C9F" w:rsidRPr="001B2EA9" w:rsidRDefault="00405C9F" w:rsidP="00155301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Особливості застосування основних норм Конвенції та протоколів до неї ЄСПЛ.</w:t>
      </w:r>
    </w:p>
    <w:p w14:paraId="0DB09177" w14:textId="77777777" w:rsidR="00405C9F" w:rsidRPr="001B2EA9" w:rsidRDefault="00405C9F" w:rsidP="00155301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Автономні поняття у практиці ЄСПЛ.</w:t>
      </w:r>
    </w:p>
    <w:p w14:paraId="49C9467D" w14:textId="77777777" w:rsidR="00405C9F" w:rsidRPr="001B2EA9" w:rsidRDefault="00405C9F" w:rsidP="00155301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Порядок звернення і процедура розгляду справ ЄСПЛ.</w:t>
      </w:r>
    </w:p>
    <w:p w14:paraId="6A1E007E" w14:textId="3699FF0F" w:rsidR="00405C9F" w:rsidRPr="001B2EA9" w:rsidRDefault="00405C9F" w:rsidP="00155301">
      <w:pPr>
        <w:numPr>
          <w:ilvl w:val="0"/>
          <w:numId w:val="5"/>
        </w:numPr>
        <w:tabs>
          <w:tab w:val="clear" w:pos="1080"/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Механізм виконання рішень ЄСПЛ у національній правовій системі України.</w:t>
      </w:r>
    </w:p>
    <w:p w14:paraId="1C05DD8F" w14:textId="77777777" w:rsidR="00405C9F" w:rsidRPr="001B2EA9" w:rsidRDefault="00405C9F" w:rsidP="0054477B">
      <w:pPr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b/>
          <w:sz w:val="22"/>
          <w:szCs w:val="22"/>
        </w:rPr>
        <w:t>Уміння</w:t>
      </w:r>
      <w:r w:rsidRPr="001B2EA9">
        <w:rPr>
          <w:rFonts w:asciiTheme="minorHAnsi" w:hAnsiTheme="minorHAnsi" w:cstheme="minorHAnsi"/>
          <w:sz w:val="22"/>
          <w:szCs w:val="22"/>
        </w:rPr>
        <w:t>:</w:t>
      </w:r>
    </w:p>
    <w:p w14:paraId="28116D20" w14:textId="77777777" w:rsidR="00405C9F" w:rsidRPr="001B2EA9" w:rsidRDefault="00405C9F" w:rsidP="00155301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Застосовувати автономну методику тлумачення Конвенції у поєднанні із конституційно-конформним тлумаченням Конвенції.</w:t>
      </w:r>
    </w:p>
    <w:p w14:paraId="3F94249D" w14:textId="77777777" w:rsidR="00405C9F" w:rsidRPr="001B2EA9" w:rsidRDefault="00405C9F" w:rsidP="00155301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 xml:space="preserve">Вміти аналізувати структуру прецедентного права ЄСПЛ, зокрема розмежовувати </w:t>
      </w:r>
      <w:r w:rsidRPr="001B2EA9">
        <w:rPr>
          <w:rFonts w:asciiTheme="minorHAnsi" w:hAnsiTheme="minorHAnsi" w:cstheme="minorHAnsi"/>
          <w:sz w:val="22"/>
          <w:szCs w:val="22"/>
          <w:lang w:val="en-US"/>
        </w:rPr>
        <w:t>ratio</w:t>
      </w:r>
      <w:r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Pr="001B2EA9">
        <w:rPr>
          <w:rFonts w:asciiTheme="minorHAnsi" w:hAnsiTheme="minorHAnsi" w:cstheme="minorHAnsi"/>
          <w:sz w:val="22"/>
          <w:szCs w:val="22"/>
          <w:lang w:val="en-US"/>
        </w:rPr>
        <w:t>decidendi</w:t>
      </w:r>
      <w:r w:rsidRPr="001B2EA9">
        <w:rPr>
          <w:rFonts w:asciiTheme="minorHAnsi" w:hAnsiTheme="minorHAnsi" w:cstheme="minorHAnsi"/>
          <w:sz w:val="22"/>
          <w:szCs w:val="22"/>
        </w:rPr>
        <w:t xml:space="preserve"> та </w:t>
      </w:r>
      <w:r w:rsidRPr="001B2EA9">
        <w:rPr>
          <w:rFonts w:asciiTheme="minorHAnsi" w:hAnsiTheme="minorHAnsi" w:cstheme="minorHAnsi"/>
          <w:sz w:val="22"/>
          <w:szCs w:val="22"/>
          <w:lang w:val="en-US"/>
        </w:rPr>
        <w:t>obiter</w:t>
      </w:r>
      <w:r w:rsidRPr="001B2EA9">
        <w:rPr>
          <w:rFonts w:asciiTheme="minorHAnsi" w:hAnsiTheme="minorHAnsi" w:cstheme="minorHAnsi"/>
          <w:sz w:val="22"/>
          <w:szCs w:val="22"/>
        </w:rPr>
        <w:t xml:space="preserve"> </w:t>
      </w:r>
      <w:r w:rsidRPr="001B2EA9">
        <w:rPr>
          <w:rFonts w:asciiTheme="minorHAnsi" w:hAnsiTheme="minorHAnsi" w:cstheme="minorHAnsi"/>
          <w:sz w:val="22"/>
          <w:szCs w:val="22"/>
          <w:lang w:val="en-US"/>
        </w:rPr>
        <w:t>dictum</w:t>
      </w:r>
      <w:r w:rsidRPr="001B2EA9">
        <w:rPr>
          <w:rFonts w:asciiTheme="minorHAnsi" w:hAnsiTheme="minorHAnsi" w:cstheme="minorHAnsi"/>
          <w:sz w:val="22"/>
          <w:szCs w:val="22"/>
        </w:rPr>
        <w:t>/</w:t>
      </w:r>
      <w:r w:rsidRPr="001B2EA9">
        <w:rPr>
          <w:rFonts w:asciiTheme="minorHAnsi" w:hAnsiTheme="minorHAnsi" w:cstheme="minorHAnsi"/>
          <w:sz w:val="22"/>
          <w:szCs w:val="22"/>
          <w:lang w:val="en-US"/>
        </w:rPr>
        <w:t>dicta</w:t>
      </w:r>
      <w:r w:rsidRPr="001B2EA9">
        <w:rPr>
          <w:rFonts w:asciiTheme="minorHAnsi" w:hAnsiTheme="minorHAnsi" w:cstheme="minorHAnsi"/>
          <w:sz w:val="22"/>
          <w:szCs w:val="22"/>
        </w:rPr>
        <w:t xml:space="preserve"> рішень ЄСПЛ.</w:t>
      </w:r>
    </w:p>
    <w:p w14:paraId="314D7985" w14:textId="77777777" w:rsidR="00405C9F" w:rsidRPr="001B2EA9" w:rsidRDefault="00405C9F" w:rsidP="00155301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Самостійно поповнювати та поглиблювати свої знання, визначати, обґрунтовувати та обстоювати свою правову позицію.</w:t>
      </w:r>
    </w:p>
    <w:p w14:paraId="043BBF08" w14:textId="77777777" w:rsidR="00405C9F" w:rsidRPr="001B2EA9" w:rsidRDefault="00405C9F" w:rsidP="00155301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Складати юридичні висновки і звернення до ЄСПЛ на основі конкретних юридичних справ.</w:t>
      </w:r>
    </w:p>
    <w:p w14:paraId="163CD589" w14:textId="77777777" w:rsidR="00A7032F" w:rsidRPr="001B2EA9" w:rsidRDefault="00405C9F" w:rsidP="00A7032F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Використовувати автономні поняття ЄСПЛ у повсякденній юридичній діяльності.</w:t>
      </w:r>
    </w:p>
    <w:p w14:paraId="683003B9" w14:textId="67BBA28E" w:rsidR="00A7032F" w:rsidRPr="001B2EA9" w:rsidRDefault="00A7032F" w:rsidP="00A7032F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Надавати консультації щодо можливих способів захисту прав та інтересів клієнтів у різних правових ситуаціях</w:t>
      </w:r>
    </w:p>
    <w:p w14:paraId="3F2FAABD" w14:textId="60328850" w:rsidR="005111B5" w:rsidRPr="001B2EA9" w:rsidRDefault="00405C9F" w:rsidP="0054477B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2EA9">
        <w:rPr>
          <w:rFonts w:asciiTheme="minorHAnsi" w:hAnsiTheme="minorHAnsi" w:cstheme="minorHAnsi"/>
          <w:sz w:val="22"/>
          <w:szCs w:val="22"/>
        </w:rPr>
        <w:t>Визначати прогалини у законодавстві України та прецедентній практиці національних судів та пропонувати шляхи їх вирішення.</w:t>
      </w:r>
    </w:p>
    <w:p w14:paraId="2FDB3CC0" w14:textId="764486BF" w:rsidR="005111B5" w:rsidRDefault="005111B5" w:rsidP="005111B5">
      <w:pPr>
        <w:pStyle w:val="1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8D07312" w14:textId="4C07AA9D" w:rsidR="005111B5" w:rsidRPr="0054477B" w:rsidRDefault="005111B5" w:rsidP="005111B5">
      <w:pPr>
        <w:jc w:val="both"/>
        <w:rPr>
          <w:rFonts w:asciiTheme="minorHAnsi" w:hAnsiTheme="minorHAnsi" w:cstheme="minorHAnsi"/>
          <w:sz w:val="22"/>
          <w:szCs w:val="22"/>
        </w:rPr>
      </w:pPr>
      <w:r w:rsidRPr="005111B5">
        <w:rPr>
          <w:rFonts w:asciiTheme="minorHAnsi" w:hAnsiTheme="minorHAnsi" w:cstheme="minorHAnsi"/>
          <w:sz w:val="22"/>
          <w:szCs w:val="22"/>
        </w:rPr>
        <w:t xml:space="preserve">Дисципліна «Практика Європейського суду з прав людини» повʼязана з такими навчальними дисциплінами як </w:t>
      </w:r>
      <w:r w:rsidR="002B5F16">
        <w:rPr>
          <w:rFonts w:asciiTheme="minorHAnsi" w:hAnsiTheme="minorHAnsi" w:cstheme="minorHAnsi"/>
          <w:sz w:val="22"/>
          <w:szCs w:val="22"/>
          <w:lang w:val="ru-RU"/>
        </w:rPr>
        <w:t>Права людини, М</w:t>
      </w:r>
      <w:r w:rsidR="002B5F16">
        <w:rPr>
          <w:rFonts w:asciiTheme="minorHAnsi" w:hAnsiTheme="minorHAnsi" w:cstheme="minorHAnsi"/>
          <w:sz w:val="22"/>
          <w:szCs w:val="22"/>
        </w:rPr>
        <w:t xml:space="preserve">іжнародне публічне право, </w:t>
      </w:r>
      <w:r w:rsidR="002B5F16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Pr="005111B5">
        <w:rPr>
          <w:rFonts w:asciiTheme="minorHAnsi" w:hAnsiTheme="minorHAnsi" w:cstheme="minorHAnsi"/>
          <w:sz w:val="22"/>
          <w:szCs w:val="22"/>
        </w:rPr>
        <w:t>раво Європейського Союзу, та галузевими юридичними дисциплінами.</w:t>
      </w:r>
      <w:r w:rsidR="00994640">
        <w:rPr>
          <w:rFonts w:asciiTheme="minorHAnsi" w:hAnsiTheme="minorHAnsi" w:cstheme="minorHAnsi"/>
          <w:sz w:val="22"/>
          <w:szCs w:val="22"/>
        </w:rPr>
        <w:t xml:space="preserve"> </w:t>
      </w:r>
      <w:r w:rsidR="00994640" w:rsidRPr="00AB0BFD">
        <w:rPr>
          <w:rFonts w:asciiTheme="minorHAnsi" w:hAnsiTheme="minorHAnsi" w:cstheme="minorHAnsi"/>
          <w:sz w:val="22"/>
          <w:szCs w:val="22"/>
        </w:rPr>
        <w:t xml:space="preserve">Засвоєння матеріалу навчальної дисципліни студентами-правниками є необхідною передумовою якісного виконання ними в майбутньому своїх професійних  завдань, </w:t>
      </w:r>
      <w:r w:rsidR="00994640">
        <w:rPr>
          <w:rFonts w:asciiTheme="minorHAnsi" w:hAnsiTheme="minorHAnsi" w:cstheme="minorHAnsi"/>
          <w:sz w:val="22"/>
          <w:szCs w:val="22"/>
        </w:rPr>
        <w:t>пов’язаних з діяльністю ЄСПЛ.</w:t>
      </w:r>
    </w:p>
    <w:p w14:paraId="162A7A7A" w14:textId="75929446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78902C1D" w14:textId="77777777" w:rsidR="00405C9F" w:rsidRPr="0054477B" w:rsidRDefault="00405C9F" w:rsidP="004C1CA2">
      <w:pPr>
        <w:rPr>
          <w:rFonts w:asciiTheme="minorHAnsi" w:hAnsiTheme="minorHAnsi" w:cstheme="minorHAnsi"/>
          <w:b/>
          <w:sz w:val="22"/>
          <w:szCs w:val="22"/>
        </w:rPr>
      </w:pPr>
      <w:r w:rsidRPr="0054477B">
        <w:rPr>
          <w:rFonts w:asciiTheme="minorHAnsi" w:hAnsiTheme="minorHAnsi" w:cstheme="minorHAnsi"/>
          <w:b/>
          <w:sz w:val="22"/>
          <w:szCs w:val="22"/>
        </w:rPr>
        <w:t>Перелік тем</w:t>
      </w:r>
    </w:p>
    <w:p w14:paraId="4DF954F6" w14:textId="77777777" w:rsidR="00405C9F" w:rsidRPr="0054477B" w:rsidRDefault="00405C9F" w:rsidP="004C1CA2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  <w:lang w:val="uk-UA"/>
        </w:rPr>
        <w:t>Тема 1. Загальна характеристика діяльності ЄСПЛ.</w:t>
      </w:r>
    </w:p>
    <w:p w14:paraId="713D4817" w14:textId="77777777" w:rsidR="00405C9F" w:rsidRPr="0054477B" w:rsidRDefault="00405C9F" w:rsidP="004C1CA2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  <w:lang w:val="uk-UA"/>
        </w:rPr>
        <w:t>Тема 2. Принципи діяльності ЄСПЛ.</w:t>
      </w:r>
    </w:p>
    <w:p w14:paraId="57039BAE" w14:textId="4D48B4D4" w:rsidR="00405C9F" w:rsidRPr="0054477B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Тема 3. </w:t>
      </w:r>
      <w:r w:rsidRPr="0054477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Право на справедливий суд.</w:t>
      </w:r>
      <w:r w:rsidRPr="005447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784FD5" w14:textId="77777777" w:rsidR="00405C9F" w:rsidRPr="0054477B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Тема 4. </w:t>
      </w:r>
      <w:r w:rsidRPr="0054477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Право на свободу та особисту недоторканність.</w:t>
      </w:r>
    </w:p>
    <w:p w14:paraId="629B6E40" w14:textId="63D4B1C7" w:rsidR="00405C9F" w:rsidRPr="00A7032F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032F">
        <w:rPr>
          <w:rFonts w:asciiTheme="minorHAnsi" w:hAnsiTheme="minorHAnsi" w:cstheme="minorHAnsi"/>
          <w:sz w:val="22"/>
          <w:szCs w:val="22"/>
        </w:rPr>
        <w:lastRenderedPageBreak/>
        <w:t xml:space="preserve">Тема 5. </w:t>
      </w:r>
      <w:r w:rsidR="00A7032F" w:rsidRPr="00A7032F">
        <w:rPr>
          <w:rFonts w:asciiTheme="minorHAnsi" w:hAnsiTheme="minorHAnsi" w:cstheme="minorHAnsi"/>
          <w:sz w:val="22"/>
          <w:szCs w:val="22"/>
          <w:lang w:val="ru-RU"/>
        </w:rPr>
        <w:t xml:space="preserve">Принципи “ніякого покарання </w:t>
      </w:r>
      <w:proofErr w:type="gramStart"/>
      <w:r w:rsidR="00A7032F" w:rsidRPr="00A7032F">
        <w:rPr>
          <w:rFonts w:asciiTheme="minorHAnsi" w:hAnsiTheme="minorHAnsi" w:cstheme="minorHAnsi"/>
          <w:sz w:val="22"/>
          <w:szCs w:val="22"/>
          <w:lang w:val="ru-RU"/>
        </w:rPr>
        <w:t>без</w:t>
      </w:r>
      <w:proofErr w:type="gramEnd"/>
      <w:r w:rsidR="00A7032F" w:rsidRPr="00A7032F">
        <w:rPr>
          <w:rFonts w:asciiTheme="minorHAnsi" w:hAnsiTheme="minorHAnsi" w:cstheme="minorHAnsi"/>
          <w:sz w:val="22"/>
          <w:szCs w:val="22"/>
          <w:lang w:val="ru-RU"/>
        </w:rPr>
        <w:t xml:space="preserve"> закону” та “неможливість двіч</w:t>
      </w:r>
      <w:r w:rsidR="00A7032F" w:rsidRPr="00A7032F">
        <w:rPr>
          <w:rFonts w:asciiTheme="minorHAnsi" w:hAnsiTheme="minorHAnsi" w:cstheme="minorHAnsi"/>
          <w:sz w:val="22"/>
          <w:szCs w:val="22"/>
        </w:rPr>
        <w:t>і</w:t>
      </w:r>
      <w:r w:rsidR="00A7032F" w:rsidRPr="00A7032F">
        <w:rPr>
          <w:rFonts w:asciiTheme="minorHAnsi" w:hAnsiTheme="minorHAnsi" w:cstheme="minorHAnsi"/>
          <w:sz w:val="22"/>
          <w:szCs w:val="22"/>
          <w:lang w:val="ru-RU"/>
        </w:rPr>
        <w:t xml:space="preserve"> бути притягненим до відповідальності за одне й те саме порушення” в практиці ЄСПЛ.</w:t>
      </w:r>
    </w:p>
    <w:p w14:paraId="7FE17F36" w14:textId="62D0EF73" w:rsidR="00405C9F" w:rsidRPr="00A7032F" w:rsidRDefault="00A7032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032F">
        <w:rPr>
          <w:rFonts w:asciiTheme="minorHAnsi" w:hAnsiTheme="minorHAnsi" w:cstheme="minorHAnsi"/>
          <w:sz w:val="22"/>
          <w:szCs w:val="22"/>
        </w:rPr>
        <w:t xml:space="preserve">Тема 6. </w:t>
      </w:r>
      <w:r w:rsidRPr="00A7032F">
        <w:rPr>
          <w:rFonts w:asciiTheme="minorHAnsi" w:hAnsiTheme="minorHAnsi" w:cstheme="minorHAnsi"/>
          <w:sz w:val="22"/>
          <w:szCs w:val="22"/>
          <w:lang w:val="ru-RU"/>
        </w:rPr>
        <w:t xml:space="preserve">Заборона катування, нелюдського чи такого, що принижує </w:t>
      </w:r>
      <w:proofErr w:type="gramStart"/>
      <w:r w:rsidRPr="00A7032F">
        <w:rPr>
          <w:rFonts w:asciiTheme="minorHAnsi" w:hAnsiTheme="minorHAnsi" w:cstheme="minorHAnsi"/>
          <w:sz w:val="22"/>
          <w:szCs w:val="22"/>
          <w:lang w:val="ru-RU"/>
        </w:rPr>
        <w:t>г</w:t>
      </w:r>
      <w:proofErr w:type="gramEnd"/>
      <w:r w:rsidRPr="00A7032F">
        <w:rPr>
          <w:rFonts w:asciiTheme="minorHAnsi" w:hAnsiTheme="minorHAnsi" w:cstheme="minorHAnsi"/>
          <w:sz w:val="22"/>
          <w:szCs w:val="22"/>
          <w:lang w:val="ru-RU"/>
        </w:rPr>
        <w:t>ідність, поводження або покарання в практиці ЄСПЛ.</w:t>
      </w:r>
      <w:r w:rsidR="00405C9F" w:rsidRPr="00A703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A4563" w14:textId="38662BE2" w:rsidR="00405C9F" w:rsidRPr="00FA7632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A7632">
        <w:rPr>
          <w:rFonts w:asciiTheme="minorHAnsi" w:hAnsiTheme="minorHAnsi" w:cstheme="minorHAnsi"/>
          <w:sz w:val="22"/>
          <w:szCs w:val="22"/>
        </w:rPr>
        <w:t>Тема 7. Право на життя</w:t>
      </w:r>
      <w:r w:rsidR="00A7032F" w:rsidRPr="00FA7632">
        <w:rPr>
          <w:rFonts w:asciiTheme="minorHAnsi" w:hAnsiTheme="minorHAnsi" w:cstheme="minorHAnsi"/>
          <w:sz w:val="22"/>
          <w:szCs w:val="22"/>
        </w:rPr>
        <w:t xml:space="preserve"> у практиці ЄСПЛ</w:t>
      </w:r>
      <w:r w:rsidRPr="00FA76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A4A9BA" w14:textId="21291A89" w:rsidR="00405C9F" w:rsidRPr="00FA7632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A7632">
        <w:rPr>
          <w:rFonts w:asciiTheme="minorHAnsi" w:hAnsiTheme="minorHAnsi" w:cstheme="minorHAnsi"/>
          <w:sz w:val="22"/>
          <w:szCs w:val="22"/>
        </w:rPr>
        <w:t xml:space="preserve">Тема 8. </w:t>
      </w:r>
      <w:r w:rsidR="00FA7632" w:rsidRPr="00FA7632">
        <w:rPr>
          <w:rFonts w:asciiTheme="minorHAnsi" w:hAnsiTheme="minorHAnsi" w:cstheme="minorHAnsi"/>
          <w:sz w:val="22"/>
          <w:szCs w:val="22"/>
          <w:lang w:val="ru-RU"/>
        </w:rPr>
        <w:t>Свобода вираження погляді</w:t>
      </w:r>
      <w:proofErr w:type="gramStart"/>
      <w:r w:rsidR="00FA7632" w:rsidRPr="00FA7632">
        <w:rPr>
          <w:rFonts w:asciiTheme="minorHAnsi" w:hAnsiTheme="minorHAnsi" w:cstheme="minorHAnsi"/>
          <w:sz w:val="22"/>
          <w:szCs w:val="22"/>
          <w:lang w:val="ru-RU"/>
        </w:rPr>
        <w:t>в</w:t>
      </w:r>
      <w:proofErr w:type="gramEnd"/>
      <w:r w:rsidR="00FA7632" w:rsidRPr="00FA763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gramStart"/>
      <w:r w:rsidR="00FA7632" w:rsidRPr="00FA7632">
        <w:rPr>
          <w:rFonts w:asciiTheme="minorHAnsi" w:hAnsiTheme="minorHAnsi" w:cstheme="minorHAnsi"/>
          <w:sz w:val="22"/>
          <w:szCs w:val="22"/>
          <w:lang w:val="ru-RU"/>
        </w:rPr>
        <w:t>свобода</w:t>
      </w:r>
      <w:proofErr w:type="gramEnd"/>
      <w:r w:rsidR="00FA7632" w:rsidRPr="00FA7632">
        <w:rPr>
          <w:rFonts w:asciiTheme="minorHAnsi" w:hAnsiTheme="minorHAnsi" w:cstheme="minorHAnsi"/>
          <w:sz w:val="22"/>
          <w:szCs w:val="22"/>
          <w:lang w:val="ru-RU"/>
        </w:rPr>
        <w:t xml:space="preserve"> мирних зібрань у практиці ЄСПЛ.</w:t>
      </w:r>
    </w:p>
    <w:p w14:paraId="20101858" w14:textId="7317B1B6" w:rsidR="00405C9F" w:rsidRPr="00FA7632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A7632">
        <w:rPr>
          <w:rFonts w:asciiTheme="minorHAnsi" w:hAnsiTheme="minorHAnsi" w:cstheme="minorHAnsi"/>
          <w:sz w:val="22"/>
          <w:szCs w:val="22"/>
        </w:rPr>
        <w:t xml:space="preserve">Тема 9. </w:t>
      </w:r>
      <w:r w:rsidR="00FA7632" w:rsidRPr="00FA7632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Право на повагу до </w:t>
      </w:r>
      <w:proofErr w:type="gramStart"/>
      <w:r w:rsidR="00FA7632" w:rsidRPr="00FA7632">
        <w:rPr>
          <w:rFonts w:asciiTheme="minorHAnsi" w:hAnsiTheme="minorHAnsi" w:cstheme="minorHAnsi"/>
          <w:bCs/>
          <w:sz w:val="22"/>
          <w:szCs w:val="22"/>
          <w:lang w:val="ru-RU"/>
        </w:rPr>
        <w:t>приватного</w:t>
      </w:r>
      <w:proofErr w:type="gramEnd"/>
      <w:r w:rsidR="00FA7632" w:rsidRPr="00FA7632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і сімейного життя, житла і кореспонденції у практиці ЄСПЛ.</w:t>
      </w:r>
    </w:p>
    <w:p w14:paraId="24829E4B" w14:textId="643D4168" w:rsidR="00405C9F" w:rsidRPr="00FA7632" w:rsidRDefault="00405C9F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FA7632">
        <w:rPr>
          <w:rFonts w:asciiTheme="minorHAnsi" w:hAnsiTheme="minorHAnsi" w:cstheme="minorHAnsi"/>
          <w:sz w:val="22"/>
          <w:szCs w:val="22"/>
        </w:rPr>
        <w:t xml:space="preserve">Тема 10. </w:t>
      </w:r>
      <w:r w:rsidR="00FA7632" w:rsidRPr="00FA7632">
        <w:rPr>
          <w:rFonts w:asciiTheme="minorHAnsi" w:hAnsiTheme="minorHAnsi" w:cstheme="minorHAnsi"/>
          <w:sz w:val="22"/>
          <w:szCs w:val="22"/>
          <w:lang w:val="ru-RU"/>
        </w:rPr>
        <w:t>Захист власності в практиці ЄСПЛ.</w:t>
      </w:r>
    </w:p>
    <w:p w14:paraId="1D032BB8" w14:textId="5BF7964E" w:rsidR="00FA7632" w:rsidRPr="00FA7632" w:rsidRDefault="00FA7632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FA7632">
        <w:rPr>
          <w:rFonts w:asciiTheme="minorHAnsi" w:hAnsiTheme="minorHAnsi" w:cstheme="minorHAnsi"/>
          <w:sz w:val="22"/>
          <w:szCs w:val="22"/>
          <w:lang w:val="ru-RU"/>
        </w:rPr>
        <w:t>Тема 11. Заборона дискримінації в практиці ЄСПЛ.</w:t>
      </w:r>
    </w:p>
    <w:p w14:paraId="41FF712C" w14:textId="3D60ABE3" w:rsidR="00405C9F" w:rsidRPr="00FA7632" w:rsidRDefault="00FA7632" w:rsidP="004C1CA2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A76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Тема 12</w:t>
      </w:r>
      <w:r w:rsidR="001F67C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Складання з</w:t>
      </w:r>
      <w:r w:rsidR="00405C9F" w:rsidRPr="00FA76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вернення </w:t>
      </w:r>
      <w:r w:rsidR="001F67C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до</w:t>
      </w:r>
      <w:r w:rsidR="00405C9F" w:rsidRPr="00FA7632">
        <w:rPr>
          <w:rFonts w:asciiTheme="minorHAnsi" w:hAnsiTheme="minorHAnsi" w:cstheme="minorHAnsi"/>
          <w:sz w:val="22"/>
          <w:szCs w:val="22"/>
        </w:rPr>
        <w:t xml:space="preserve"> ЄСПЛ.</w:t>
      </w:r>
    </w:p>
    <w:p w14:paraId="3A076904" w14:textId="38831848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51715F28" w14:textId="77777777" w:rsidR="00405C9F" w:rsidRPr="0054477B" w:rsidRDefault="00405C9F" w:rsidP="0054477B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77B">
        <w:rPr>
          <w:rFonts w:asciiTheme="minorHAnsi" w:hAnsiTheme="minorHAnsi" w:cstheme="minorHAnsi"/>
          <w:b/>
          <w:sz w:val="22"/>
          <w:szCs w:val="22"/>
        </w:rPr>
        <w:t>Базова література:</w:t>
      </w:r>
    </w:p>
    <w:p w14:paraId="055C5B73" w14:textId="77777777" w:rsidR="00405C9F" w:rsidRPr="0054477B" w:rsidRDefault="00405C9F" w:rsidP="0015530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Конвенція про захист прав людини та основоположних свобод. Електронний ресурс: </w:t>
      </w:r>
      <w:hyperlink r:id="rId14" w:history="1">
        <w:r w:rsidRPr="0054477B">
          <w:rPr>
            <w:rStyle w:val="a5"/>
            <w:rFonts w:asciiTheme="minorHAnsi" w:hAnsiTheme="minorHAnsi" w:cstheme="minorHAnsi"/>
            <w:sz w:val="22"/>
            <w:szCs w:val="22"/>
          </w:rPr>
          <w:t>https://zakon.rada.gov.ua/laws/show/995_004</w:t>
        </w:r>
      </w:hyperlink>
    </w:p>
    <w:p w14:paraId="432CFD0E" w14:textId="77777777" w:rsidR="00405C9F" w:rsidRPr="0054477B" w:rsidRDefault="00405C9F" w:rsidP="0015530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  <w:shd w:val="clear" w:color="auto" w:fill="FFFFFF"/>
        </w:rPr>
        <w:t>The </w:t>
      </w:r>
      <w:r w:rsidRPr="0054477B">
        <w:rPr>
          <w:rStyle w:val="afa"/>
          <w:rFonts w:asciiTheme="minorHAnsi" w:hAnsiTheme="minorHAnsi" w:cstheme="minorHAnsi"/>
          <w:sz w:val="22"/>
          <w:szCs w:val="22"/>
          <w:shd w:val="clear" w:color="auto" w:fill="FFFFFF"/>
        </w:rPr>
        <w:t>Case-law Guides by theme </w:t>
      </w:r>
      <w:r w:rsidRPr="005447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2FF4D75B" w14:textId="77777777" w:rsidR="00405C9F" w:rsidRPr="0054477B" w:rsidRDefault="00480DDE" w:rsidP="0054477B">
      <w:pPr>
        <w:tabs>
          <w:tab w:val="left" w:pos="720"/>
        </w:tabs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405C9F" w:rsidRPr="0054477B">
          <w:rPr>
            <w:rStyle w:val="a5"/>
            <w:rFonts w:asciiTheme="minorHAnsi" w:hAnsiTheme="minorHAnsi" w:cstheme="minorHAnsi"/>
            <w:sz w:val="22"/>
            <w:szCs w:val="22"/>
          </w:rPr>
          <w:t>https://www.echr.coe.int/Pages/home.aspx?p=caselaw/analysis/guides&amp;c=</w:t>
        </w:r>
      </w:hyperlink>
    </w:p>
    <w:p w14:paraId="4A022F8E" w14:textId="69DFD61A" w:rsidR="009D6EA8" w:rsidRPr="009D6EA8" w:rsidRDefault="009D6EA8" w:rsidP="0015530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6EA8">
        <w:rPr>
          <w:rFonts w:asciiTheme="minorHAnsi" w:hAnsiTheme="minorHAnsi" w:cstheme="minorHAnsi"/>
          <w:sz w:val="22"/>
          <w:szCs w:val="22"/>
        </w:rPr>
        <w:t xml:space="preserve">Завгородній В. А. Вплив практики ЄСПЛ на юридичну діяльність в Україні: теоретичний, методологічний </w:t>
      </w:r>
      <w:hyperlink r:id="rId16" w:history="1">
        <w:r w:rsidRPr="009D6EA8">
          <w:rPr>
            <w:rStyle w:val="a5"/>
            <w:rFonts w:asciiTheme="minorHAnsi" w:hAnsiTheme="minorHAnsi" w:cstheme="minorHAnsi"/>
            <w:color w:val="auto"/>
            <w:sz w:val="22"/>
            <w:szCs w:val="22"/>
            <w:u w:val="none"/>
          </w:rPr>
          <w:t>і прикладний аспекти : монографія / В.А. Завгородній ; Міністерство внутрішніх справ України, Дніпропетровський державний університет внутрішніх справ.</w:t>
        </w:r>
      </w:hyperlink>
      <w:r w:rsidRPr="009D6EA8">
        <w:rPr>
          <w:rFonts w:asciiTheme="minorHAnsi" w:hAnsiTheme="minorHAnsi" w:cstheme="minorHAnsi"/>
          <w:sz w:val="22"/>
          <w:szCs w:val="22"/>
        </w:rPr>
        <w:t xml:space="preserve"> Дніпро : Дніпропетровський державний університет внутрішніх справ, 2020. 535 с.</w:t>
      </w:r>
    </w:p>
    <w:p w14:paraId="28EE92DD" w14:textId="77777777" w:rsidR="00405C9F" w:rsidRPr="0054477B" w:rsidRDefault="00405C9F" w:rsidP="0015530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Збірник витягів з рішень Європейського суду з прав людини,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посаді, 2018 р. Електронний ресурс: </w:t>
      </w:r>
      <w:hyperlink r:id="rId17" w:history="1">
        <w:r w:rsidRPr="0054477B">
          <w:rPr>
            <w:rStyle w:val="a5"/>
            <w:rFonts w:asciiTheme="minorHAnsi" w:hAnsiTheme="minorHAnsi" w:cstheme="minorHAnsi"/>
            <w:sz w:val="22"/>
            <w:szCs w:val="22"/>
          </w:rPr>
          <w:t>http://www.nsj.gov.ua/files/15296531171517493988%D0%97%D0%B1%D1%96%D1%80%D0%BD%D0%B8%D0%BA%20%D1%80%D1%96%D1%88%D0%B5%D0%BD%D1%8C%20%D0%84%D0%A1%D0%9F%D0%9B_30.01.2018%20%D0%BD%D0%B0%20%D1%81%D0%B0%D0%B9%D1%82.pdf</w:t>
        </w:r>
      </w:hyperlink>
    </w:p>
    <w:p w14:paraId="673863D6" w14:textId="77777777" w:rsidR="005111B5" w:rsidRPr="0054477B" w:rsidRDefault="005111B5" w:rsidP="005111B5">
      <w:pPr>
        <w:tabs>
          <w:tab w:val="left" w:pos="720"/>
        </w:tabs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5AA1E" w14:textId="77777777" w:rsidR="00405C9F" w:rsidRPr="0054477B" w:rsidRDefault="00405C9F" w:rsidP="0054477B">
      <w:pPr>
        <w:tabs>
          <w:tab w:val="left" w:pos="720"/>
        </w:tabs>
        <w:spacing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77B">
        <w:rPr>
          <w:rFonts w:asciiTheme="minorHAnsi" w:hAnsiTheme="minorHAnsi" w:cstheme="minorHAnsi"/>
          <w:b/>
          <w:sz w:val="22"/>
          <w:szCs w:val="22"/>
        </w:rPr>
        <w:t>Допоміжна література:</w:t>
      </w:r>
    </w:p>
    <w:p w14:paraId="1150D04F" w14:textId="77777777" w:rsidR="009D6EA8" w:rsidRPr="009D6EA8" w:rsidRDefault="009D6EA8" w:rsidP="009D6EA8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EA8">
        <w:rPr>
          <w:rFonts w:asciiTheme="minorHAnsi" w:hAnsiTheme="minorHAnsi" w:cstheme="minorHAnsi"/>
          <w:b/>
          <w:sz w:val="22"/>
          <w:szCs w:val="22"/>
        </w:rPr>
        <w:t>Дудаш Т.І. Практика Європейського суду з прав людини: навч. посібн. – К. : Алерта, 2016. – 413 с.</w:t>
      </w:r>
    </w:p>
    <w:p w14:paraId="21BE019E" w14:textId="75CADFD3" w:rsidR="009D6EA8" w:rsidRPr="009D6EA8" w:rsidRDefault="009D6EA8" w:rsidP="009D6EA8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EA8">
        <w:rPr>
          <w:rFonts w:asciiTheme="minorHAnsi" w:hAnsiTheme="minorHAnsi" w:cstheme="minorHAnsi"/>
          <w:b/>
          <w:sz w:val="22"/>
          <w:szCs w:val="22"/>
        </w:rPr>
        <w:t>Фулей Т.І. Застосування практики Європейського суду з прав людини при здійсненні правосуддя: Науково-методичний посібник для суддів. 2-ге вид. випр., допов. К., 2015. 208 с.</w:t>
      </w:r>
    </w:p>
    <w:p w14:paraId="02F98EAD" w14:textId="788C53FB" w:rsidR="009D6EA8" w:rsidRPr="009D6EA8" w:rsidRDefault="009D6EA8" w:rsidP="009D6EA8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EA8">
        <w:rPr>
          <w:rFonts w:asciiTheme="minorHAnsi" w:hAnsiTheme="minorHAnsi" w:cstheme="minorHAnsi"/>
          <w:b/>
          <w:sz w:val="22"/>
          <w:szCs w:val="22"/>
        </w:rPr>
        <w:t xml:space="preserve">Юрисдикція Європейського Суду з прав людини: доктрина та практика / О. В. Базов ; Київ. нац. ун-т ім. Т. Шевченка, Ін-т міжнар. відносин. Київ : Істина, 2017. 422 с. </w:t>
      </w:r>
    </w:p>
    <w:p w14:paraId="179C48F9" w14:textId="411019E3" w:rsidR="00405C9F" w:rsidRPr="0054477B" w:rsidRDefault="00405C9F" w:rsidP="00155301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Абашидзе А.Х., Алисиевич Е.С. Право Совета Европы. Конвенция о защите прав человека и основных свобод: учебное пособие / А.Х. Абашидзе, Е.С. Алисиевич. – М.: Междунар. отношения, 2007. – 304 с.</w:t>
      </w:r>
    </w:p>
    <w:p w14:paraId="61A82689" w14:textId="77777777" w:rsidR="00405C9F" w:rsidRPr="0054477B" w:rsidRDefault="00405C9F" w:rsidP="00155301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Андріанов К.В. Роль контрольного механізму Конвенції про захист прав і основних свобод людини в процесі реалізації її норм: дис… канд. юрид. наук / К.В. Андріанов. – К., 2002. – 185 с.</w:t>
      </w:r>
    </w:p>
    <w:p w14:paraId="0ADB4AD0" w14:textId="77777777" w:rsidR="00405C9F" w:rsidRPr="0054477B" w:rsidRDefault="00405C9F" w:rsidP="00155301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iCs/>
          <w:sz w:val="22"/>
          <w:szCs w:val="22"/>
        </w:rPr>
        <w:t>Буроменский М.В.</w:t>
      </w:r>
      <w:r w:rsidRPr="0054477B">
        <w:rPr>
          <w:rFonts w:asciiTheme="minorHAnsi" w:hAnsiTheme="minorHAnsi" w:cstheme="minorHAnsi"/>
          <w:sz w:val="22"/>
          <w:szCs w:val="22"/>
        </w:rPr>
        <w:t xml:space="preserve"> Обращение в Европейский суд по правам человека: практика Суда и особенности украинского законодательства / М. Буроменский. – Харьков: Фолио, 2000. – 32 с.</w:t>
      </w:r>
    </w:p>
    <w:p w14:paraId="19D1B667" w14:textId="77777777" w:rsidR="00405C9F" w:rsidRPr="0054477B" w:rsidRDefault="00405C9F" w:rsidP="00155301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Де Сальвиа М. Прецеденты Европейского суда по правам человека. Руководящие принципы судебной практики, относящиеся к Европейской конвенции о защите прав человека и основных свобод. Судебная практика с 1960 по 2002 г. / М. Де Сальвиа. – СПб.: Юридический центр Пресс, 2004. – 1072 с. </w:t>
      </w:r>
    </w:p>
    <w:p w14:paraId="1D4F40AC" w14:textId="77777777" w:rsidR="00405C9F" w:rsidRPr="0054477B" w:rsidRDefault="00405C9F" w:rsidP="00155301">
      <w:pPr>
        <w:numPr>
          <w:ilvl w:val="0"/>
          <w:numId w:val="7"/>
        </w:numPr>
        <w:tabs>
          <w:tab w:val="left" w:pos="720"/>
        </w:tabs>
        <w:spacing w:line="24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Дженніс М., Кей Р., Бредлі Е. Європейське право у галузі прав людини: Джерела і практика застосування / М. Дженніс, Р. Кей, Е. Бредлі. – К.: АртЕк, 1997. – 583с.</w:t>
      </w:r>
    </w:p>
    <w:p w14:paraId="0470C341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Караман І.В. Звернення до Європейського суду з прав людини : практ. довідник / Ігор Караман ; Вища шк. адвокатури Нац. асоціації адвокатів України. — Київ : Фенікс, 2016. — 335 с. </w:t>
      </w:r>
    </w:p>
    <w:p w14:paraId="74FF5400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Кучинська О. П., Фулей Т. І., Бараннік Р. В.  Принципи кримінального провадження у світлі практики Європейського суду з прав людини : монографія / О. П. Кучинська, Т. І. Фулей, Р. В. Бараннік. – Ніжин : ТОВ “Видавництво “Аспект- Поліграф”, 2013. – 228 с.</w:t>
      </w:r>
    </w:p>
    <w:p w14:paraId="02467778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Севостьянова Н., Звернення до Європейського суду з прав людини як реалізація права на правосуддя. </w:t>
      </w:r>
      <w:r w:rsidRPr="0054477B">
        <w:rPr>
          <w:rFonts w:asciiTheme="minorHAnsi" w:hAnsiTheme="minorHAnsi" w:cstheme="minorHAnsi"/>
          <w:sz w:val="22"/>
          <w:szCs w:val="22"/>
          <w:lang w:val="ru-RU"/>
        </w:rPr>
        <w:t>Монографія. 2012, 216 с.</w:t>
      </w:r>
    </w:p>
    <w:p w14:paraId="6461E69F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Уваров, В. Г., Застосування практики Европейського Суду з прав людини та норм міжнародно-правових актів в удосконаленні кримінального судочинства України: Монографія. За заг. ред.Тертишника, В.М., Дніпро, 2012.</w:t>
      </w:r>
    </w:p>
    <w:p w14:paraId="1AD94C2A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lastRenderedPageBreak/>
        <w:t>Шевчук С. Судовий захист прав людини. Практика Європейського суду з прав людини у контексті західної правової традиції / С. Шевчук. – К.: Реферат, 2006. – 829 с.</w:t>
      </w:r>
    </w:p>
    <w:p w14:paraId="1D4BAF0B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Вибрані рішення Європейського суду з прав людини: в 2-х т.. – К.: Фенікс, 2006. </w:t>
      </w:r>
    </w:p>
    <w:p w14:paraId="7B86ECEB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 xml:space="preserve">Вибрані справи Європейського суду з прав людини. – К.: Фенікс, 2003. – Вип. І. – 288 с. </w:t>
      </w:r>
    </w:p>
    <w:p w14:paraId="023BEEDB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Вибрані справи Європейського суду з прав людини. Випуск ІІ. – К.: Фенікс, 2004. – 273 с.</w:t>
      </w:r>
    </w:p>
    <w:p w14:paraId="50470839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Европейский Суд по правам человека. Избранные решения: в 2 т. – М.: НОРМА, 2000. – Т.1 / председатель ред. коллегии – д. ю. н., проф. В.А. Туманов. – 856 с.</w:t>
      </w:r>
    </w:p>
    <w:p w14:paraId="5013432F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Европейский Суд по правам человека. Избранные решения: в 2 т. – М.: НОРМА, 2000. – Т. 2 / председатель ред. коллегии – д. ю. н., проф. В.А.Туманов. – 808 с.</w:t>
      </w:r>
    </w:p>
    <w:p w14:paraId="0E052FB4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Кримінальний процесуальний кодекс України з постатейними матеріалами практики Європейського суду з прав людини / за ред. А. В. Столітнього ; [уклад.: А. В. Столітній та ін.]. — 2-ге вид., перероб. та допов. — Харків : Право, 2019. </w:t>
      </w:r>
    </w:p>
    <w:p w14:paraId="7803C6C2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Провокація вчинення злочину: практика Європейського суду з прав людини та національних судів : наук.-практ. посіб. : [для студентів, аспірантів, викладачів закл. вищої освіти, науковців, працівників прокуратури та ін. правоохорон. органів / О. З. Гладун та ін.] ; Ген. прокуратура України, Нац. акад. прокуратури України. — Київ : Національна академія прокуратури України, 2019. — 117 с. </w:t>
      </w:r>
    </w:p>
    <w:p w14:paraId="43ECED6C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Прецедентне право Європейського суду з прав людини щодо захисту прав уразливих верств населення : навч. посіб. / О. О. Гайдулін, В. Ю. Худолей, І. М. Шаркова ; М-во освіти і науки України. — Харків : Лисенко І. Б. : Голембовська О. О., 2019. — 298 с.</w:t>
      </w:r>
    </w:p>
    <w:p w14:paraId="735D2644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Право на ефективний засіб юридичного захисту у кримінальному провадженні: практика Європейського суду з прав людини та законодавство України / Ген. прокуратура України, Нац. акад. прокуратури України ; за ред. Ю. Г. Севрука, А. В. Столітнього ; [уклад. Ю. Г. Севрука та ін.]. — Київ : Національна академія прокуратури України, 2019. — 389 с.</w:t>
      </w:r>
    </w:p>
    <w:p w14:paraId="5791FD55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Практика застосування Європейської Конвенції про захист прав людини і основоположних свобод: стаття 6 та стаття 1 Першого Протоколу : практ. посіб. : [витяг із рішень Європейського суду з прав людини] / [уклад.: В. Я. Погребняк, С. О. Кравцов]. — Харків : Право, 2018. — 195 с.</w:t>
      </w:r>
    </w:p>
    <w:p w14:paraId="16B07ED2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Тлумачення та застосування Конвенції про захист прав людини і основоположних свобод Європейським судом з прав людини та судами України: навчальний посібник / авт. кол. М. Мазур, С. Тагієв, А. Беніцький, В. Кострицький. – Луганськ, 2006. – 600 с.</w:t>
      </w:r>
    </w:p>
    <w:p w14:paraId="0BFE0912" w14:textId="77777777" w:rsidR="00405C9F" w:rsidRPr="0054477B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477B">
        <w:rPr>
          <w:rFonts w:asciiTheme="minorHAnsi" w:hAnsiTheme="minorHAnsi" w:cstheme="minorHAnsi"/>
          <w:sz w:val="22"/>
          <w:szCs w:val="22"/>
        </w:rPr>
        <w:t>Harris, O'Boyle, and Warbrick, Law of the European Convention on Human Rights, 2018.</w:t>
      </w:r>
    </w:p>
    <w:p w14:paraId="2BAEB5A8" w14:textId="77777777" w:rsidR="00405C9F" w:rsidRPr="00F66D1F" w:rsidRDefault="00405C9F" w:rsidP="00155301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Philip Leach, Taking a Case to the European Court of Human Rights Paperback – Student Edition, 2017</w:t>
      </w:r>
    </w:p>
    <w:p w14:paraId="1B4F4E49" w14:textId="54D612F4" w:rsidR="005111B5" w:rsidRPr="005111B5" w:rsidRDefault="00405C9F" w:rsidP="005111B5">
      <w:pPr>
        <w:numPr>
          <w:ilvl w:val="0"/>
          <w:numId w:val="7"/>
        </w:numPr>
        <w:shd w:val="clear" w:color="auto" w:fill="FFFFFF"/>
        <w:tabs>
          <w:tab w:val="left" w:pos="365"/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William A. Schabas, The European Convention on Human Rights: A Commentary (Oxford Commentaries on International Law), 2017.</w:t>
      </w:r>
    </w:p>
    <w:p w14:paraId="7D18DE64" w14:textId="2DB6EECF" w:rsidR="00F66D1F" w:rsidRPr="00F66D1F" w:rsidRDefault="00F66D1F" w:rsidP="00F66D1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Інформаційні ресурси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E18A348" w14:textId="77777777" w:rsidR="00F66D1F" w:rsidRPr="00F66D1F" w:rsidRDefault="00F66D1F" w:rsidP="00F66D1F">
      <w:pPr>
        <w:shd w:val="clear" w:color="auto" w:fill="FFFFFF"/>
        <w:tabs>
          <w:tab w:val="left" w:pos="36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Ознайомитись з діяльністю ЄСПЛ та його рішеннями можна на веб-сайті за адресою: </w:t>
      </w:r>
      <w:hyperlink r:id="rId18" w:history="1">
        <w:r w:rsidRPr="00F66D1F">
          <w:rPr>
            <w:rStyle w:val="a5"/>
            <w:rFonts w:asciiTheme="minorHAnsi" w:hAnsiTheme="minorHAnsi" w:cstheme="minorHAnsi"/>
            <w:sz w:val="22"/>
            <w:szCs w:val="22"/>
          </w:rPr>
          <w:t>https://www.echr.coe.int/</w:t>
        </w:r>
      </w:hyperlink>
      <w:r w:rsidRPr="00F66D1F">
        <w:rPr>
          <w:rFonts w:asciiTheme="minorHAnsi" w:hAnsiTheme="minorHAnsi" w:cstheme="minorHAnsi"/>
          <w:sz w:val="22"/>
          <w:szCs w:val="22"/>
        </w:rPr>
        <w:t>.</w:t>
      </w:r>
    </w:p>
    <w:p w14:paraId="523CCBDC" w14:textId="77777777" w:rsidR="00F66D1F" w:rsidRPr="00F66D1F" w:rsidRDefault="00F66D1F" w:rsidP="00F66D1F">
      <w:pPr>
        <w:shd w:val="clear" w:color="auto" w:fill="FFFFFF"/>
        <w:tabs>
          <w:tab w:val="left" w:pos="36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r w:rsidRPr="00F66D1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  <w:r w:rsidRPr="00F66D1F">
        <w:rPr>
          <w:rStyle w:val="afa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>Case-law Guides by theme </w:t>
      </w:r>
      <w:r w:rsidRPr="00F66D1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01659470" w14:textId="77777777" w:rsidR="00F66D1F" w:rsidRPr="00F66D1F" w:rsidRDefault="00480DDE" w:rsidP="00F66D1F">
      <w:pPr>
        <w:tabs>
          <w:tab w:val="left" w:pos="720"/>
        </w:tabs>
        <w:spacing w:line="240" w:lineRule="auto"/>
        <w:contextualSpacing/>
        <w:jc w:val="both"/>
        <w:rPr>
          <w:rStyle w:val="a5"/>
          <w:rFonts w:asciiTheme="minorHAnsi" w:hAnsiTheme="minorHAnsi" w:cstheme="minorHAnsi"/>
          <w:sz w:val="22"/>
          <w:szCs w:val="22"/>
        </w:rPr>
      </w:pPr>
      <w:hyperlink r:id="rId19" w:history="1">
        <w:r w:rsidR="00F66D1F" w:rsidRPr="00F66D1F">
          <w:rPr>
            <w:rStyle w:val="a5"/>
            <w:rFonts w:asciiTheme="minorHAnsi" w:hAnsiTheme="minorHAnsi" w:cstheme="minorHAnsi"/>
            <w:sz w:val="22"/>
            <w:szCs w:val="22"/>
          </w:rPr>
          <w:t>https://www.echr.coe.int/Pages/home.aspx?p=caselaw/analysis/guides&amp;c=</w:t>
        </w:r>
      </w:hyperlink>
    </w:p>
    <w:p w14:paraId="30FC342D" w14:textId="77777777" w:rsidR="00F66D1F" w:rsidRPr="00F66D1F" w:rsidRDefault="00F66D1F" w:rsidP="00F66D1F">
      <w:pPr>
        <w:tabs>
          <w:tab w:val="left" w:pos="720"/>
        </w:tabs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Збірник витягів з рішень Європейського суду з прав людини,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посаді, 2018 р.: </w:t>
      </w:r>
      <w:r w:rsidR="00480DDE">
        <w:fldChar w:fldCharType="begin"/>
      </w:r>
      <w:r w:rsidR="00480DDE">
        <w:instrText xml:space="preserve"> HYPERLINK "http://www.nsj.gov.ua/files/15296531171517493988%D0%97%D0%B1%D1%96%D1%80%D0%BD%D0%B8%D0%BA%20%D1%80%D1%96%D1%88%D0%B5%D0%BD%D1%8C%20%D0%84%</w:instrText>
      </w:r>
      <w:r w:rsidR="00480DDE">
        <w:instrText xml:space="preserve">D0%A1%D0%9F%D0%9B_30.01.2018%20%D0%BD%D0%B0%20%D1%81%D0%B0%D0%B9%D1%82.pdf" </w:instrText>
      </w:r>
      <w:r w:rsidR="00480DDE">
        <w:fldChar w:fldCharType="separate"/>
      </w:r>
      <w:r w:rsidRPr="00F66D1F">
        <w:rPr>
          <w:rStyle w:val="a5"/>
          <w:rFonts w:asciiTheme="minorHAnsi" w:hAnsiTheme="minorHAnsi" w:cstheme="minorHAnsi"/>
          <w:sz w:val="22"/>
          <w:szCs w:val="22"/>
        </w:rPr>
        <w:t>http://www.nsj.gov.ua/files/15296531171517493988%D0%97%D0%B1%D1%96%D1%80%D0%BD%D0%B8%D0%BA%20%D1%80%D1%96%D1%88%D0%B5%D0%BD%D1%8C%20%D0%84%D0%A1%D0%9F%D0%9B_30.01.2018%20%D0%BD%D0%B0%20%D1%81%D0%B0%D0%B9%D1%82.pdf</w:t>
      </w:r>
      <w:r w:rsidR="00480DDE">
        <w:rPr>
          <w:rStyle w:val="a5"/>
          <w:rFonts w:asciiTheme="minorHAnsi" w:hAnsiTheme="minorHAnsi" w:cstheme="minorHAnsi"/>
          <w:sz w:val="22"/>
          <w:szCs w:val="22"/>
        </w:rPr>
        <w:fldChar w:fldCharType="end"/>
      </w:r>
    </w:p>
    <w:p w14:paraId="566A719F" w14:textId="77777777" w:rsidR="00F66D1F" w:rsidRPr="00F66D1F" w:rsidRDefault="00F66D1F" w:rsidP="00F66D1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pacing w:val="-2"/>
          <w:sz w:val="22"/>
          <w:szCs w:val="22"/>
        </w:rPr>
        <w:t xml:space="preserve">Для використання останньої редакції нормативно-правових актів доцільно використовувати відповідні аналітичні інформаційно-правові системи або вільно доступні ресурси мережі Інтернет на сайтах </w:t>
      </w:r>
      <w:hyperlink r:id="rId20" w:history="1">
        <w:r w:rsidRPr="00F66D1F">
          <w:rPr>
            <w:rStyle w:val="a5"/>
            <w:rFonts w:asciiTheme="minorHAnsi" w:hAnsiTheme="minorHAnsi" w:cstheme="minorHAnsi"/>
            <w:sz w:val="22"/>
            <w:szCs w:val="22"/>
          </w:rPr>
          <w:t>http://rada.gov.ua/</w:t>
        </w:r>
      </w:hyperlink>
      <w:r w:rsidRPr="00F66D1F">
        <w:rPr>
          <w:rFonts w:asciiTheme="minorHAnsi" w:hAnsiTheme="minorHAnsi" w:cstheme="minorHAnsi"/>
          <w:sz w:val="22"/>
          <w:szCs w:val="22"/>
        </w:rPr>
        <w:t xml:space="preserve">, </w:t>
      </w:r>
      <w:hyperlink r:id="rId21" w:history="1">
        <w:r w:rsidRPr="00F66D1F">
          <w:rPr>
            <w:rStyle w:val="a5"/>
            <w:rFonts w:asciiTheme="minorHAnsi" w:hAnsiTheme="minorHAnsi" w:cstheme="minorHAnsi"/>
            <w:sz w:val="22"/>
            <w:szCs w:val="22"/>
          </w:rPr>
          <w:t>http://nau.kiev.ua/</w:t>
        </w:r>
      </w:hyperlink>
      <w:r w:rsidRPr="00F66D1F">
        <w:rPr>
          <w:rFonts w:asciiTheme="minorHAnsi" w:hAnsiTheme="minorHAnsi" w:cstheme="minorHAnsi"/>
          <w:sz w:val="22"/>
          <w:szCs w:val="22"/>
        </w:rPr>
        <w:t xml:space="preserve"> та інших.</w:t>
      </w:r>
    </w:p>
    <w:p w14:paraId="4C95CCD8" w14:textId="77777777" w:rsidR="00F66D1F" w:rsidRPr="00F66D1F" w:rsidRDefault="00F66D1F" w:rsidP="00F66D1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Із судовою практикою для заповнення формуляру заяви до ЄСПЛ можна ознайомитися в Єдиному реєстрі судових рішень в мережі Інтернет на сайті </w:t>
      </w:r>
      <w:hyperlink r:id="rId22" w:history="1">
        <w:r w:rsidRPr="00F66D1F">
          <w:rPr>
            <w:rStyle w:val="a5"/>
            <w:rFonts w:asciiTheme="minorHAnsi" w:hAnsiTheme="minorHAnsi" w:cstheme="minorHAnsi"/>
            <w:sz w:val="22"/>
            <w:szCs w:val="22"/>
          </w:rPr>
          <w:t>http://reyestr.court.gov.ua/</w:t>
        </w:r>
      </w:hyperlink>
      <w:r w:rsidRPr="00F66D1F">
        <w:rPr>
          <w:rFonts w:asciiTheme="minorHAnsi" w:hAnsiTheme="minorHAnsi" w:cstheme="minorHAnsi"/>
          <w:sz w:val="22"/>
          <w:szCs w:val="22"/>
        </w:rPr>
        <w:t>.</w:t>
      </w:r>
    </w:p>
    <w:p w14:paraId="54B9C39B" w14:textId="77777777" w:rsidR="00F66D1F" w:rsidRPr="0054477B" w:rsidRDefault="00F66D1F" w:rsidP="00F66D1F">
      <w:pPr>
        <w:shd w:val="clear" w:color="auto" w:fill="FFFFFF"/>
        <w:tabs>
          <w:tab w:val="left" w:pos="365"/>
          <w:tab w:val="left" w:pos="567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0A4A9905" w14:textId="03AC9E8E" w:rsidR="00F66D1F" w:rsidRPr="00F66D1F" w:rsidRDefault="008175C6" w:rsidP="009D6E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FF3">
        <w:rPr>
          <w:rFonts w:asciiTheme="minorHAnsi" w:hAnsiTheme="minorHAnsi" w:cstheme="minorHAnsi"/>
          <w:b/>
          <w:sz w:val="22"/>
          <w:szCs w:val="22"/>
        </w:rPr>
        <w:t>Лекції</w:t>
      </w:r>
      <w:r w:rsidRPr="00FA6FF3">
        <w:rPr>
          <w:rFonts w:asciiTheme="minorHAnsi" w:hAnsiTheme="minorHAnsi" w:cstheme="minorHAnsi"/>
          <w:sz w:val="22"/>
          <w:szCs w:val="22"/>
        </w:rPr>
        <w:t xml:space="preserve"> проводяться </w:t>
      </w:r>
      <w:r w:rsidR="00E07455" w:rsidRPr="00FA6FF3">
        <w:rPr>
          <w:rFonts w:asciiTheme="minorHAnsi" w:hAnsiTheme="minorHAnsi" w:cstheme="minorHAnsi"/>
          <w:sz w:val="22"/>
          <w:szCs w:val="22"/>
        </w:rPr>
        <w:t xml:space="preserve">із застосуванням </w:t>
      </w:r>
      <w:r w:rsidRPr="00FA6FF3">
        <w:rPr>
          <w:rFonts w:asciiTheme="minorHAnsi" w:hAnsiTheme="minorHAnsi" w:cstheme="minorHAnsi"/>
          <w:sz w:val="22"/>
          <w:szCs w:val="22"/>
        </w:rPr>
        <w:t>презентацій.</w:t>
      </w:r>
      <w:r w:rsidR="00E07455" w:rsidRPr="00FA6FF3">
        <w:rPr>
          <w:rFonts w:asciiTheme="minorHAnsi" w:hAnsiTheme="minorHAnsi" w:cstheme="minorHAnsi"/>
          <w:sz w:val="22"/>
          <w:szCs w:val="22"/>
        </w:rPr>
        <w:t xml:space="preserve"> Лекції можуть проводитись із частковим застосуванням методу професійної дискусії. У такому випадку студентам можуть завчасно надаватися матеріали для </w:t>
      </w:r>
      <w:r w:rsidR="00E07455" w:rsidRPr="00FA6FF3">
        <w:rPr>
          <w:rFonts w:asciiTheme="minorHAnsi" w:hAnsiTheme="minorHAnsi" w:cstheme="minorHAnsi"/>
          <w:sz w:val="22"/>
          <w:szCs w:val="22"/>
        </w:rPr>
        <w:lastRenderedPageBreak/>
        <w:t xml:space="preserve">попереднього опрацювання для подальшого обговорення (професійної дискусії) під час лекції. </w:t>
      </w:r>
      <w:r w:rsidR="00252850" w:rsidRPr="00FA6FF3">
        <w:rPr>
          <w:rFonts w:asciiTheme="minorHAnsi" w:hAnsiTheme="minorHAnsi" w:cstheme="minorHAnsi"/>
          <w:sz w:val="22"/>
          <w:szCs w:val="22"/>
        </w:rPr>
        <w:t>Студенти закликаються для активної участі в обговоренні, порушенні питань, що виникають</w:t>
      </w:r>
      <w:r w:rsidR="00307FF7" w:rsidRPr="00FA6FF3">
        <w:rPr>
          <w:rFonts w:asciiTheme="minorHAnsi" w:hAnsiTheme="minorHAnsi" w:cstheme="minorHAnsi"/>
          <w:sz w:val="22"/>
          <w:szCs w:val="22"/>
        </w:rPr>
        <w:t xml:space="preserve"> під час вивчення курсу</w:t>
      </w:r>
      <w:r w:rsidR="00252850" w:rsidRPr="00FA6FF3">
        <w:rPr>
          <w:rFonts w:asciiTheme="minorHAnsi" w:hAnsiTheme="minorHAnsi" w:cstheme="minorHAnsi"/>
          <w:sz w:val="22"/>
          <w:szCs w:val="22"/>
        </w:rPr>
        <w:t>, перед викладачем та іншими студентами.</w:t>
      </w:r>
    </w:p>
    <w:p w14:paraId="69D4D9B5" w14:textId="71593807" w:rsidR="008175C6" w:rsidRDefault="008175C6" w:rsidP="00F66D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Лекційні заняття</w:t>
      </w:r>
    </w:p>
    <w:p w14:paraId="06C7632D" w14:textId="77777777" w:rsidR="00F66D1F" w:rsidRPr="00F66D1F" w:rsidRDefault="00F66D1F" w:rsidP="00F66D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970066" w14:textId="65857792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</w:t>
      </w:r>
      <w:r w:rsidRPr="00F20DC3">
        <w:rPr>
          <w:rFonts w:asciiTheme="minorHAnsi" w:hAnsiTheme="minorHAnsi" w:cstheme="minorHAnsi"/>
          <w:b/>
          <w:sz w:val="22"/>
          <w:szCs w:val="22"/>
        </w:rPr>
        <w:t>ія 1.</w:t>
      </w:r>
    </w:p>
    <w:p w14:paraId="3D8A1106" w14:textId="774EFEEF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Тема 1. Загальна характеристика діяльності ЄСПЛ.</w:t>
      </w:r>
    </w:p>
    <w:p w14:paraId="74BBED8A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Конвенція про захист прав людини та основоположних свобод та її ратифікація Україною</w:t>
      </w:r>
    </w:p>
    <w:p w14:paraId="6894C995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Протоколи до Конвенції, їх види та призначення</w:t>
      </w:r>
    </w:p>
    <w:p w14:paraId="2F063C1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схема проходження справи в ЄСПЛ</w:t>
      </w:r>
    </w:p>
    <w:p w14:paraId="1D3CD5FE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 xml:space="preserve">Види складу суду (формацій), в яких діє ЄСПЛ </w:t>
      </w:r>
    </w:p>
    <w:p w14:paraId="41EA2041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Основні ідеї щодо діяльності ЄСПЛ</w:t>
      </w:r>
    </w:p>
    <w:p w14:paraId="4DE4332E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Загальні особливості практики ЄСПЛ</w:t>
      </w:r>
    </w:p>
    <w:p w14:paraId="468C562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Значення практики ЄСПЛ</w:t>
      </w:r>
    </w:p>
    <w:p w14:paraId="10D32730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Статистика справ ЄСПЛ</w:t>
      </w:r>
    </w:p>
    <w:p w14:paraId="0F931550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Мета Конвенції та тлумачення її як живого документа</w:t>
      </w:r>
    </w:p>
    <w:p w14:paraId="18A54C5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2EB679C1" w14:textId="2733A6CF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</w:t>
      </w:r>
      <w:r w:rsidRPr="00F20DC3">
        <w:rPr>
          <w:rFonts w:asciiTheme="minorHAnsi" w:hAnsiTheme="minorHAnsi" w:cstheme="minorHAnsi"/>
          <w:b/>
          <w:sz w:val="22"/>
          <w:szCs w:val="22"/>
        </w:rPr>
        <w:t>ія 2.</w:t>
      </w:r>
    </w:p>
    <w:p w14:paraId="186F95BB" w14:textId="2AF5B1E5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b/>
          <w:sz w:val="22"/>
          <w:szCs w:val="22"/>
        </w:rPr>
        <w:t xml:space="preserve">Тема 2. </w:t>
      </w:r>
      <w:r w:rsidRPr="00F20DC3">
        <w:rPr>
          <w:rFonts w:asciiTheme="minorHAnsi" w:hAnsiTheme="minorHAnsi" w:cstheme="minorHAnsi"/>
          <w:b/>
          <w:sz w:val="22"/>
          <w:szCs w:val="22"/>
          <w:lang w:val="uk-UA"/>
        </w:rPr>
        <w:t>Принципи діяльності ЄСПЛ.</w:t>
      </w:r>
    </w:p>
    <w:p w14:paraId="0BCFE9C6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Принципи тлумачення Конвенції (відповідного розуміння прав людини) в практиці ЄСПЛ</w:t>
      </w:r>
    </w:p>
    <w:p w14:paraId="4248054E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Ефективне тлумачення Конвенції (ефективний захист прав людини)</w:t>
      </w:r>
    </w:p>
    <w:p w14:paraId="600059E6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Динамічне тлумачення</w:t>
      </w:r>
    </w:p>
    <w:p w14:paraId="0885C13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Об’єктивне тлумачення та автономне тлумачення</w:t>
      </w:r>
    </w:p>
    <w:p w14:paraId="0E525411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Певна свобода національного розсуду</w:t>
      </w:r>
    </w:p>
    <w:p w14:paraId="076FD80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Принцип правової визначеності в тлумаченні Конвенції</w:t>
      </w:r>
      <w:r w:rsidRPr="00F20DC3">
        <w:rPr>
          <w:rFonts w:asciiTheme="minorHAnsi" w:hAnsiTheme="minorHAnsi" w:cstheme="minorHAnsi"/>
          <w:sz w:val="22"/>
          <w:szCs w:val="22"/>
          <w:lang w:val="uk-UA"/>
        </w:rPr>
        <w:tab/>
      </w:r>
    </w:p>
    <w:p w14:paraId="68BF8C2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Значення преамбули та ст. 1 Конвенції</w:t>
      </w:r>
    </w:p>
    <w:p w14:paraId="1770F842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Верховенство права</w:t>
      </w:r>
    </w:p>
    <w:p w14:paraId="63F0BD03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Юридична (правова) визначеність</w:t>
      </w:r>
    </w:p>
    <w:p w14:paraId="25900F68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Якість закону</w:t>
      </w:r>
    </w:p>
    <w:p w14:paraId="22ABD12A" w14:textId="0EC42354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Законність втручання в право, охоронюване Конвенцією (обмеження такого права) – “трискладовий тест”.</w:t>
      </w:r>
    </w:p>
    <w:p w14:paraId="3483FD91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71D42" w14:textId="15D89D74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3.</w:t>
      </w:r>
    </w:p>
    <w:p w14:paraId="46A37E30" w14:textId="03930F85" w:rsidR="00F20DC3" w:rsidRPr="00F20DC3" w:rsidRDefault="00F20DC3" w:rsidP="00F20DC3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Тема 3. </w:t>
      </w:r>
      <w:r w:rsidRPr="00F20D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Право на справедливий суд</w:t>
      </w:r>
    </w:p>
    <w:p w14:paraId="092CE177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Компоненти права на справедливий суд</w:t>
      </w:r>
    </w:p>
    <w:p w14:paraId="19D24688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доступ до суду</w:t>
      </w:r>
    </w:p>
    <w:p w14:paraId="32E8A101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Елементи права на захист</w:t>
      </w:r>
    </w:p>
    <w:p w14:paraId="217575C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Чому важливо право на доступ до захисника</w:t>
      </w:r>
    </w:p>
    <w:p w14:paraId="3234725E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Рівність сторін</w:t>
      </w:r>
    </w:p>
    <w:p w14:paraId="21144B87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Обґрунтованість (мотивованість) рішень суду</w:t>
      </w:r>
    </w:p>
    <w:p w14:paraId="22A2498B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зберігати мовчання і не свідчити проти себе</w:t>
      </w:r>
    </w:p>
    <w:p w14:paraId="46EC289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публічність провадження</w:t>
      </w:r>
    </w:p>
    <w:p w14:paraId="6CDF2E68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розгляд справи в розумний строк</w:t>
      </w:r>
    </w:p>
    <w:p w14:paraId="49043308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Автономне поняття «суд»</w:t>
      </w:r>
    </w:p>
    <w:p w14:paraId="41269F6F" w14:textId="6580925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Судовий контроль рішень адміністративних органів</w:t>
      </w:r>
    </w:p>
    <w:p w14:paraId="01BF43E3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Суд, встановлений законом</w:t>
      </w:r>
    </w:p>
    <w:p w14:paraId="219C17C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Незалежність та безсторонність (impartiality) (неупередженість) суду</w:t>
      </w:r>
    </w:p>
    <w:p w14:paraId="7C4935F6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Принцип res judicata (вирішена справа) – складова правової визначеності</w:t>
      </w:r>
    </w:p>
    <w:p w14:paraId="7A95A49A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30B5963A" w14:textId="54AB1A4A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4.</w:t>
      </w:r>
    </w:p>
    <w:p w14:paraId="682D662C" w14:textId="33436209" w:rsidR="00F20DC3" w:rsidRPr="00F20DC3" w:rsidRDefault="00F20DC3" w:rsidP="00F20DC3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Тема 3. </w:t>
      </w:r>
      <w:r w:rsidRPr="00F20D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Право на справедливий суд</w:t>
      </w:r>
    </w:p>
    <w:p w14:paraId="1FA81B33" w14:textId="59D8AB38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Автономне поняття «Кримінальне обвинувачення»</w:t>
      </w:r>
    </w:p>
    <w:p w14:paraId="0F283EA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Приклади справ, що в практиці ЄСПЛ розглядаються як кримінальні</w:t>
      </w:r>
    </w:p>
    <w:p w14:paraId="15F97A2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Критерії для розгляду справ про штрафні донарахування податків як кримінальних</w:t>
      </w:r>
    </w:p>
    <w:p w14:paraId="1ED09F1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оскарження в кримінальних справах</w:t>
      </w:r>
    </w:p>
    <w:p w14:paraId="4474C6B2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Презумпція невинуватості та її призначення</w:t>
      </w:r>
    </w:p>
    <w:p w14:paraId="4EF7661E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Елементи презумпції невинуватості</w:t>
      </w:r>
    </w:p>
    <w:p w14:paraId="0415635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lastRenderedPageBreak/>
        <w:t>Приклади порушення презумпції невинуватості</w:t>
      </w:r>
    </w:p>
    <w:p w14:paraId="4391D827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Неможливість вважати особу винуватою, якщо не було повного розгляду</w:t>
      </w:r>
    </w:p>
    <w:p w14:paraId="4D1E2330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 xml:space="preserve">Ухилення суду від розгляду справи </w:t>
      </w:r>
      <w:r w:rsidRPr="00F20DC3">
        <w:rPr>
          <w:rFonts w:asciiTheme="minorHAnsi" w:hAnsiTheme="minorHAnsi" w:cstheme="minorHAnsi"/>
          <w:sz w:val="22"/>
          <w:szCs w:val="22"/>
          <w:cs/>
          <w:lang w:val="uk-UA"/>
        </w:rPr>
        <w:t>–</w:t>
      </w:r>
      <w:r w:rsidRPr="00F20DC3">
        <w:rPr>
          <w:rFonts w:asciiTheme="minorHAnsi" w:hAnsiTheme="minorHAnsi" w:cstheme="minorHAnsi"/>
          <w:sz w:val="22"/>
          <w:szCs w:val="22"/>
          <w:lang w:val="uk-UA"/>
        </w:rPr>
        <w:t xml:space="preserve"> порушення права на справедливий суд</w:t>
      </w:r>
    </w:p>
    <w:p w14:paraId="1838CC2B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Поняття “спір” (dispute)</w:t>
      </w:r>
    </w:p>
    <w:p w14:paraId="55FD5E65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Автономне поняття “Цивільні права і обов'язки”</w:t>
      </w:r>
    </w:p>
    <w:p w14:paraId="741B1B2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Інші (крім основного розгляду) стадії проходження справи як складова судового розгляду</w:t>
      </w:r>
    </w:p>
    <w:p w14:paraId="4EEED9C0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B4DA" w14:textId="7FFC68E3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5.</w:t>
      </w:r>
    </w:p>
    <w:p w14:paraId="3C24885F" w14:textId="321D157A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Тема 4. </w:t>
      </w:r>
      <w:r w:rsidRPr="00F20D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ru-RU"/>
        </w:rPr>
        <w:t>Право на свободу та особисту недоторканність</w:t>
      </w:r>
    </w:p>
    <w:p w14:paraId="60907462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Мета статті 5 Конвенції – захист особи від свавілля</w:t>
      </w:r>
    </w:p>
    <w:p w14:paraId="20CDC592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Основні характеристики права на свободу та особисту недоторканність</w:t>
      </w:r>
    </w:p>
    <w:p w14:paraId="11213015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Позбавлення свободи як автономне поняття в практиці ЄСПЛ</w:t>
      </w:r>
    </w:p>
    <w:p w14:paraId="413E5864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Сфера застосування статті 5</w:t>
      </w:r>
    </w:p>
    <w:p w14:paraId="0FD1C81A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ідстави взяття під варту в вигляді запобіжного заходу (п. 1(с) Конвенції)</w:t>
      </w:r>
    </w:p>
    <w:p w14:paraId="7DF643C4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Поняття обґрунтованої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ідозри</w:t>
      </w:r>
    </w:p>
    <w:p w14:paraId="6B92AA7D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Повідомлення причин затримання</w:t>
      </w:r>
    </w:p>
    <w:p w14:paraId="74A37A03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Судовий контроль за затриманням</w:t>
      </w:r>
    </w:p>
    <w:p w14:paraId="3E8CC7FD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Р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ізні стадії судового контролю над затриманням і триманням під вартою без вироку суду</w:t>
      </w:r>
    </w:p>
    <w:p w14:paraId="39E11B56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Розумність строку розгляду справи затриманої особи</w:t>
      </w:r>
    </w:p>
    <w:p w14:paraId="0BE297B3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Особлива ретельність при розслідуванні справ осіб, що тримаються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 вартою</w:t>
      </w:r>
    </w:p>
    <w:p w14:paraId="0EE25F42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Ризики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для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 правомірної відмови в досудовому звільненні</w:t>
      </w:r>
    </w:p>
    <w:p w14:paraId="1D6D276B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Ризик втечі</w:t>
      </w:r>
    </w:p>
    <w:p w14:paraId="7F8DEF6F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Ризик перешкоджання правосуддю</w:t>
      </w:r>
    </w:p>
    <w:p w14:paraId="0327850A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Ризик вчинення правопорушень</w:t>
      </w:r>
    </w:p>
    <w:p w14:paraId="1E279319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Конкретність ризику</w:t>
      </w:r>
    </w:p>
    <w:p w14:paraId="6F42DDFA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Недостатність самої обґрунтованої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ідозри для продовжуваного тримання під вартою</w:t>
      </w:r>
    </w:p>
    <w:p w14:paraId="734AC3FE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Альтернативний запобіжний захід, зокрема застава</w:t>
      </w:r>
    </w:p>
    <w:p w14:paraId="164DD100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Три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р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ізні підстави для судового контролю</w:t>
      </w:r>
    </w:p>
    <w:p w14:paraId="4257ABDD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Право вимагати перевірки судом правомірності тримання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ід вартою </w:t>
      </w:r>
      <w:r w:rsidRPr="00F20DC3">
        <w:rPr>
          <w:rFonts w:asciiTheme="minorHAnsi" w:hAnsiTheme="minorHAnsi" w:cstheme="minorHAnsi"/>
          <w:sz w:val="22"/>
          <w:szCs w:val="22"/>
          <w:cs/>
        </w:rPr>
        <w:t>–</w:t>
      </w: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0DC3">
        <w:rPr>
          <w:rFonts w:asciiTheme="minorHAnsi" w:hAnsiTheme="minorHAnsi" w:cstheme="minorHAnsi"/>
          <w:sz w:val="22"/>
          <w:szCs w:val="22"/>
        </w:rPr>
        <w:t>habeas</w:t>
      </w: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0DC3">
        <w:rPr>
          <w:rFonts w:asciiTheme="minorHAnsi" w:hAnsiTheme="minorHAnsi" w:cstheme="minorHAnsi"/>
          <w:sz w:val="22"/>
          <w:szCs w:val="22"/>
        </w:rPr>
        <w:t>corpus</w:t>
      </w:r>
    </w:p>
    <w:p w14:paraId="38692656" w14:textId="6336EF46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D8636DB" w14:textId="0E944664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6.</w:t>
      </w:r>
    </w:p>
    <w:p w14:paraId="34F07E0B" w14:textId="77777777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Тема 5. Принципи “ніякого покарання </w:t>
      </w:r>
      <w:proofErr w:type="gramStart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без</w:t>
      </w:r>
      <w:proofErr w:type="gramEnd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закону” та “неможливість двічи бути притягненим до відповідальності за одне й те саме порушення” в практиці ЄСПЛ</w:t>
      </w:r>
    </w:p>
    <w:p w14:paraId="09204CCF" w14:textId="77777777" w:rsidR="00F20DC3" w:rsidRPr="00F20DC3" w:rsidRDefault="00F20DC3" w:rsidP="00F20DC3">
      <w:pPr>
        <w:tabs>
          <w:tab w:val="left" w:pos="916"/>
        </w:tabs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Загальна характеристика принципу nullum crimen, nulla poena sine lege – немає покарання без закону.</w:t>
      </w:r>
    </w:p>
    <w:p w14:paraId="372F4863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Чіткість (якість) закону.</w:t>
      </w:r>
    </w:p>
    <w:p w14:paraId="2BF8D7BB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Покарання як автономне поняття. Відмежування норм, що передбачають покарання, від процесуальних норм, що встановлюють порядок його виконання.</w:t>
      </w:r>
    </w:p>
    <w:p w14:paraId="0478EBA4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>Заборона застосування кримінального закону за аналогією</w:t>
      </w:r>
    </w:p>
    <w:p w14:paraId="2DF4A9BA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Передбачуваність закону</w:t>
      </w:r>
    </w:p>
    <w:p w14:paraId="1E20126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принципу заборони зворотної дії закону</w:t>
      </w:r>
    </w:p>
    <w:p w14:paraId="4F6F8882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принципу non bis in idem – неможливість двічі притягати до відповідальності за одні й ті самі порушення</w:t>
      </w:r>
    </w:p>
    <w:p w14:paraId="04D4C3D0" w14:textId="36EDDB3F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00D408" w14:textId="56485FAB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7.</w:t>
      </w:r>
    </w:p>
    <w:p w14:paraId="7168BB35" w14:textId="77777777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Тема 6. Заборона катування, нелюдського чи такого, що принижує </w:t>
      </w:r>
      <w:proofErr w:type="gramStart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г</w:t>
      </w:r>
      <w:proofErr w:type="gramEnd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ідність, поводження або покарання в практиці ЄСПЛ</w:t>
      </w:r>
    </w:p>
    <w:p w14:paraId="59E2C661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Загальні положення щодо заборони катувань</w:t>
      </w:r>
    </w:p>
    <w:p w14:paraId="6BE16741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>Види зобов’язань держав за ст. 3 Конвенції</w:t>
      </w:r>
    </w:p>
    <w:p w14:paraId="414317A8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Три </w:t>
      </w:r>
      <w:r w:rsidRPr="00F20DC3">
        <w:rPr>
          <w:rFonts w:asciiTheme="minorHAnsi" w:hAnsiTheme="minorHAnsi" w:cstheme="minorHAnsi"/>
          <w:bCs/>
          <w:sz w:val="22"/>
          <w:szCs w:val="22"/>
        </w:rPr>
        <w:t xml:space="preserve">категорії </w:t>
      </w: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>жорстокого поводження</w:t>
      </w:r>
    </w:p>
    <w:p w14:paraId="45EF695D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 xml:space="preserve">Мінімальний </w:t>
      </w:r>
      <w:proofErr w:type="gramStart"/>
      <w:r w:rsidRPr="00F20DC3">
        <w:rPr>
          <w:rFonts w:asciiTheme="minorHAnsi" w:hAnsiTheme="minorHAnsi" w:cstheme="minorHAnsi"/>
          <w:bCs/>
          <w:sz w:val="22"/>
          <w:szCs w:val="22"/>
        </w:rPr>
        <w:t>р</w:t>
      </w:r>
      <w:proofErr w:type="gramEnd"/>
      <w:r w:rsidRPr="00F20DC3">
        <w:rPr>
          <w:rFonts w:asciiTheme="minorHAnsi" w:hAnsiTheme="minorHAnsi" w:cstheme="minorHAnsi"/>
          <w:bCs/>
          <w:sz w:val="22"/>
          <w:szCs w:val="22"/>
        </w:rPr>
        <w:t>івень жорстокості</w:t>
      </w:r>
    </w:p>
    <w:p w14:paraId="0CA9ECC1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Типові й нетипові випадки, коли судом встановлювалися порушення статті 3 Конвенції</w:t>
      </w:r>
    </w:p>
    <w:p w14:paraId="6DEC6507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Зв'язок статті 3 із іншими статтями Конвенції</w:t>
      </w:r>
    </w:p>
    <w:p w14:paraId="20ECB13C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05E69C4" w14:textId="04C65B46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8.</w:t>
      </w:r>
    </w:p>
    <w:p w14:paraId="33580FA8" w14:textId="318B1982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Тема 7. Право на життя у практиці ЄСПЛ</w:t>
      </w:r>
    </w:p>
    <w:p w14:paraId="545D771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Загальна характеристика ст. 2 Конвенції та протоколів №6 та 13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до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неї</w:t>
      </w:r>
    </w:p>
    <w:p w14:paraId="20AED67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Заборона відступі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та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застережень щодо гарантій права на життя</w:t>
      </w:r>
    </w:p>
    <w:p w14:paraId="6E669202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Сфера застосування статті 2 Конвенції</w:t>
      </w:r>
    </w:p>
    <w:p w14:paraId="6FFC3D73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Обов’язки держав за статтею 2 Конвенції</w:t>
      </w:r>
    </w:p>
    <w:p w14:paraId="3ACE662E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Мета і вимоги до ефективного розслідування</w:t>
      </w:r>
    </w:p>
    <w:p w14:paraId="1B32C0DD" w14:textId="77777777" w:rsidR="00F20DC3" w:rsidRPr="00F20DC3" w:rsidRDefault="00F20DC3" w:rsidP="00F20DC3">
      <w:pPr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p w14:paraId="7C5D39C8" w14:textId="1C40B947" w:rsidR="00F20DC3" w:rsidRPr="00F20DC3" w:rsidRDefault="00023910" w:rsidP="00F20DC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Ле</w:t>
      </w:r>
      <w:r w:rsidR="00F20DC3" w:rsidRPr="00F20DC3">
        <w:rPr>
          <w:rFonts w:asciiTheme="minorHAnsi" w:hAnsiTheme="minorHAnsi" w:cstheme="minorHAnsi"/>
          <w:b/>
          <w:bCs/>
          <w:sz w:val="22"/>
          <w:szCs w:val="22"/>
          <w:lang w:val="ru-RU"/>
        </w:rPr>
        <w:t>кція 9.</w:t>
      </w:r>
    </w:p>
    <w:p w14:paraId="051DA313" w14:textId="349629F9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Тема 8. </w:t>
      </w: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Свобода вираження погляді</w:t>
      </w:r>
      <w:proofErr w:type="gramStart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в</w:t>
      </w:r>
      <w:proofErr w:type="gramEnd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</w:t>
      </w:r>
      <w:proofErr w:type="gramStart"/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свобода</w:t>
      </w:r>
      <w:proofErr w:type="gramEnd"/>
      <w:r w:rsidR="004C1C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мирних зібрань у практиці ЄСПЛ</w:t>
      </w:r>
    </w:p>
    <w:p w14:paraId="5D05B9A3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права на свободу вираження поглядів</w:t>
      </w:r>
    </w:p>
    <w:p w14:paraId="3FAF82B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Вільна преса – “вартовий пес демократії”</w:t>
      </w:r>
    </w:p>
    <w:p w14:paraId="4B36CB3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права на свободу мирних зібрань</w:t>
      </w:r>
    </w:p>
    <w:p w14:paraId="10201A23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Позитивні обовязки держави щодо захисту права на зібрання</w:t>
      </w:r>
    </w:p>
    <w:p w14:paraId="3A9779E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Зв'язок прав, гарантованих ст. 10, 11 Конвенції, і заборона зловживання правами (за ст. 17 Конвенції)</w:t>
      </w:r>
    </w:p>
    <w:p w14:paraId="602D17F7" w14:textId="7877B124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2D399B5" w14:textId="0585832C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10.</w:t>
      </w:r>
    </w:p>
    <w:p w14:paraId="3CFD58A4" w14:textId="77777777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Тема 9. </w:t>
      </w:r>
      <w:r w:rsidRPr="00F20DC3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Право на повагу до </w:t>
      </w:r>
      <w:proofErr w:type="gramStart"/>
      <w:r w:rsidRPr="00F20DC3">
        <w:rPr>
          <w:rFonts w:asciiTheme="minorHAnsi" w:hAnsiTheme="minorHAnsi" w:cstheme="minorHAnsi"/>
          <w:b/>
          <w:bCs/>
          <w:sz w:val="22"/>
          <w:szCs w:val="22"/>
          <w:lang w:val="ru-RU"/>
        </w:rPr>
        <w:t>приватного</w:t>
      </w:r>
      <w:proofErr w:type="gramEnd"/>
      <w:r w:rsidRPr="00F20DC3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і сімейного життя, житла і кореспонденції у практиці ЄСПЛ</w:t>
      </w:r>
    </w:p>
    <w:p w14:paraId="5E3E535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Загальна характеристика прав, гарантованих ст. 8 Конвенції</w:t>
      </w:r>
    </w:p>
    <w:p w14:paraId="1810CAB7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Основні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>ідходи в практиці Суду</w:t>
      </w:r>
    </w:p>
    <w:p w14:paraId="573D7D3C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Сфери, які охоплює право на повагу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приватного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життя </w:t>
      </w:r>
    </w:p>
    <w:p w14:paraId="6CFA4DD2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Аспекти, які охоплює право на повагу сімейного життя </w:t>
      </w:r>
    </w:p>
    <w:p w14:paraId="59886820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Автономне поняття “житло” в практиці ЄСПЛ</w:t>
      </w:r>
    </w:p>
    <w:p w14:paraId="610F70C2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Аспекти права на повагу до житла</w:t>
      </w:r>
    </w:p>
    <w:p w14:paraId="2865BA37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Обшуки як втручання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в право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на повагу до житла</w:t>
      </w:r>
    </w:p>
    <w:p w14:paraId="61A58D7F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Інші аспекти права на повагу до житла</w:t>
      </w:r>
    </w:p>
    <w:p w14:paraId="27321FD9" w14:textId="77777777" w:rsidR="00F20DC3" w:rsidRPr="00F20DC3" w:rsidRDefault="00F20DC3" w:rsidP="00F20DC3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Право на повагу до кореспонденції</w:t>
      </w:r>
    </w:p>
    <w:p w14:paraId="48FC9216" w14:textId="730CD7B1" w:rsidR="00F20DC3" w:rsidRPr="00F20DC3" w:rsidRDefault="00F20DC3" w:rsidP="00F20DC3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14:paraId="4EBB931E" w14:textId="132D59AA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11.</w:t>
      </w:r>
    </w:p>
    <w:p w14:paraId="1C7D300F" w14:textId="77777777" w:rsidR="00F20DC3" w:rsidRPr="00F20DC3" w:rsidRDefault="00F20DC3" w:rsidP="00F20DC3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Тема 10. Захист власності в практиці ЄСПЛ</w:t>
      </w:r>
    </w:p>
    <w:p w14:paraId="09A96FAB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ст. 1 Першого протоколу</w:t>
      </w:r>
      <w:r w:rsidRPr="00F20D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2D99C9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Автономне поняття «Майно» в практиці ЄСПЛ</w:t>
      </w:r>
    </w:p>
    <w:p w14:paraId="2471835F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Підхід “трьох правил” та втручання в право власності</w:t>
      </w:r>
    </w:p>
    <w:p w14:paraId="31C994B3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Критерії правомірності втручання у власність</w:t>
      </w:r>
    </w:p>
    <w:p w14:paraId="1D5A71EB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Алгоритм розгляду справ за ст.1 Протоколу 1</w:t>
      </w:r>
    </w:p>
    <w:p w14:paraId="31D10483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Суспільний і загальний інтерес</w:t>
      </w:r>
    </w:p>
    <w:p w14:paraId="3AA6DBA6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Пропорційність (”справедливий баланс” чи “надмірний тягар”)</w:t>
      </w:r>
    </w:p>
    <w:p w14:paraId="2E4542C7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Стаття 1 Протоколу 1 в аспекті оподаткування</w:t>
      </w:r>
    </w:p>
    <w:p w14:paraId="321F8D1B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Позитивні зобовязання держав за ст. 1 Першого протоколу</w:t>
      </w:r>
    </w:p>
    <w:p w14:paraId="7F752337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Горизонтальний ефект та взаємовідносини між приватними особами</w:t>
      </w:r>
    </w:p>
    <w:p w14:paraId="4BD4F016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Взаємозв’язок між ст. 1 Першого протоколу й іншими статтями Конвенції.</w:t>
      </w:r>
    </w:p>
    <w:p w14:paraId="430B669E" w14:textId="4DD5961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BC733" w14:textId="38198629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Лекція 12.</w:t>
      </w:r>
    </w:p>
    <w:p w14:paraId="276C8115" w14:textId="77777777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Тема 11. Заборона дискримінації в практиці ЄСПЛ</w:t>
      </w:r>
    </w:p>
    <w:p w14:paraId="08A0D9A0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статті 14 Конвенції та ст. 1 Протоколу №12 до Конвенції</w:t>
      </w:r>
    </w:p>
    <w:p w14:paraId="1DC97E2F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Особливості застосування ст. 14 Конвенції</w:t>
      </w:r>
    </w:p>
    <w:p w14:paraId="55FA873F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Поняття дискримінації</w:t>
      </w:r>
    </w:p>
    <w:p w14:paraId="0723623E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Покроковий підхід у визначені дискримінації</w:t>
      </w:r>
    </w:p>
    <w:p w14:paraId="737C9CA4" w14:textId="77777777" w:rsidR="00F20DC3" w:rsidRPr="00F20DC3" w:rsidRDefault="00F20DC3" w:rsidP="00F20DC3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</w:rPr>
        <w:t>Приводи (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>ідстави) дискримінації</w:t>
      </w:r>
    </w:p>
    <w:p w14:paraId="0E9241A8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70A02" w14:textId="01E1954C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 xml:space="preserve">Лекція 13. </w:t>
      </w:r>
      <w:r w:rsidR="004C1CA2">
        <w:rPr>
          <w:rFonts w:asciiTheme="minorHAnsi" w:hAnsiTheme="minorHAnsi" w:cstheme="minorHAnsi"/>
          <w:b/>
          <w:i/>
          <w:sz w:val="22"/>
          <w:szCs w:val="22"/>
        </w:rPr>
        <w:t>(самостійне опрацювання)</w:t>
      </w:r>
    </w:p>
    <w:p w14:paraId="1BED8A19" w14:textId="463CA371" w:rsidR="00F20DC3" w:rsidRPr="00F20DC3" w:rsidRDefault="00F20DC3" w:rsidP="00F20DC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b/>
          <w:sz w:val="22"/>
          <w:szCs w:val="22"/>
          <w:lang w:val="ru-RU"/>
        </w:rPr>
        <w:t>Тема 12. Складання звернення до ЄСПЛ</w:t>
      </w:r>
    </w:p>
    <w:p w14:paraId="02D7A02D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Загальні умови прийнятності заяви</w:t>
      </w:r>
    </w:p>
    <w:p w14:paraId="25288F94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lastRenderedPageBreak/>
        <w:t>Вичерпання національних засобів юридичного захисту</w:t>
      </w:r>
    </w:p>
    <w:p w14:paraId="2018E135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Заповнення формуляру звернення</w:t>
      </w:r>
    </w:p>
    <w:p w14:paraId="758480D2" w14:textId="77777777" w:rsidR="00F20DC3" w:rsidRPr="00F20DC3" w:rsidRDefault="00F20DC3" w:rsidP="00F20DC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Виклад обставин справи</w:t>
      </w:r>
    </w:p>
    <w:p w14:paraId="0A1DBCEF" w14:textId="684DC7C7" w:rsidR="008175C6" w:rsidRPr="001F67C9" w:rsidRDefault="008175C6" w:rsidP="00F66D1F">
      <w:pPr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574CD8F7" w14:textId="2450ACFD" w:rsidR="008175C6" w:rsidRPr="00F66D1F" w:rsidRDefault="008175C6" w:rsidP="00F66D1F">
      <w:pPr>
        <w:spacing w:line="240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Практичні заняття</w:t>
      </w:r>
    </w:p>
    <w:p w14:paraId="3A2C5798" w14:textId="20E903BF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Плани практичних занять з курсу «Практика Європейського суду з прав людини» для студен</w:t>
      </w:r>
      <w:r w:rsidR="009D6EA8">
        <w:rPr>
          <w:rFonts w:asciiTheme="minorHAnsi" w:hAnsiTheme="minorHAnsi" w:cstheme="minorHAnsi"/>
          <w:sz w:val="22"/>
          <w:szCs w:val="22"/>
        </w:rPr>
        <w:t>тів спеціальності “Право</w:t>
      </w:r>
      <w:r w:rsidRPr="00F66D1F">
        <w:rPr>
          <w:rFonts w:asciiTheme="minorHAnsi" w:hAnsiTheme="minorHAnsi" w:cstheme="minorHAnsi"/>
          <w:sz w:val="22"/>
          <w:szCs w:val="22"/>
        </w:rPr>
        <w:t>” на 6 семестр розроблені згідно з навчальним планом Факультету соціології і права Національного технічного університету України «Київський політехнічний інститут імені Ігоря Сікорського».</w:t>
      </w:r>
    </w:p>
    <w:p w14:paraId="52293038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Мета практичних занять – надати допомогу при поглибленому вивченні теоретичних положень курсу, виробити у студентів вміння правильно орієнтуватися та застосовувати рішення та автономні поняття Європейського суду з прав людини у практичній діяльності.</w:t>
      </w:r>
    </w:p>
    <w:p w14:paraId="112BB18F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Для підготовки до практичних занять необхідно використовувати лекційні нотатки, рекомендовану літературу, прецедентну практику Європейського суду з прав людини, та чинне законодавство України з відповідної теми.</w:t>
      </w:r>
    </w:p>
    <w:p w14:paraId="54476CED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54373A5" w14:textId="25B26276" w:rsidR="008175C6" w:rsidRPr="00F66D1F" w:rsidRDefault="008175C6" w:rsidP="00F66D1F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Практичне заняття 1. </w:t>
      </w:r>
    </w:p>
    <w:p w14:paraId="63A27D4E" w14:textId="25BCAA19" w:rsidR="008175C6" w:rsidRDefault="008175C6" w:rsidP="000E7995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Тема 1. Загальна характеристика діяльності ЄСПЛ.</w:t>
      </w:r>
    </w:p>
    <w:p w14:paraId="51D640FF" w14:textId="77777777" w:rsidR="000E7995" w:rsidRPr="000E7995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22C6AE80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Конвенція про захист прав людини та основоположних свобод та її ратифікація Україною</w:t>
      </w:r>
    </w:p>
    <w:p w14:paraId="3B2133C6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Протоколи до Конвенції, їх види та призначення</w:t>
      </w:r>
    </w:p>
    <w:p w14:paraId="03CC1384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схема проходження справи в ЄСПЛ</w:t>
      </w:r>
    </w:p>
    <w:p w14:paraId="47156799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 xml:space="preserve">Види складу суду (формацій), в яких діє ЄСПЛ </w:t>
      </w:r>
    </w:p>
    <w:p w14:paraId="1B343EB6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Основні ідеї щодо діяльності ЄСПЛ</w:t>
      </w:r>
    </w:p>
    <w:p w14:paraId="3E5695B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Загальні особливості практики ЄСПЛ</w:t>
      </w:r>
    </w:p>
    <w:p w14:paraId="1AB9B5BE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Значення практики ЄСПЛ</w:t>
      </w:r>
    </w:p>
    <w:p w14:paraId="617DF8F6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Статистика справ ЄСПЛ</w:t>
      </w:r>
    </w:p>
    <w:p w14:paraId="38C4E563" w14:textId="7A10A06C" w:rsidR="000E7995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Мета Конвенції та тлумачення її як живого документа</w:t>
      </w:r>
    </w:p>
    <w:p w14:paraId="6AE741F3" w14:textId="77777777" w:rsidR="00023910" w:rsidRPr="00F20DC3" w:rsidRDefault="00023910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2C2BACAB" w14:textId="13FF3302" w:rsidR="002D1682" w:rsidRPr="00AE3C40" w:rsidRDefault="00AE3C40" w:rsidP="000E7995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AE3C40">
        <w:rPr>
          <w:rFonts w:asciiTheme="minorHAnsi" w:eastAsia="Times New Roman" w:hAnsiTheme="minorHAnsi" w:cstheme="minorHAnsi"/>
          <w:b/>
          <w:sz w:val="22"/>
          <w:szCs w:val="22"/>
        </w:rPr>
        <w:t>Завдання на самостійну роботу:</w:t>
      </w:r>
    </w:p>
    <w:p w14:paraId="358B87B9" w14:textId="77777777" w:rsidR="00AE3C40" w:rsidRPr="00AE3C40" w:rsidRDefault="002D1682" w:rsidP="000E7995">
      <w:pPr>
        <w:pStyle w:val="a0"/>
        <w:numPr>
          <w:ilvl w:val="0"/>
          <w:numId w:val="44"/>
        </w:numPr>
        <w:spacing w:line="240" w:lineRule="auto"/>
        <w:ind w:left="0" w:right="-284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E3C40">
        <w:rPr>
          <w:rFonts w:asciiTheme="minorHAnsi" w:hAnsiTheme="minorHAnsi" w:cstheme="minorHAnsi"/>
          <w:sz w:val="22"/>
          <w:szCs w:val="22"/>
          <w:shd w:val="clear" w:color="auto" w:fill="FFFFFF"/>
        </w:rPr>
        <w:t>П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t>ередивитися навчальне відео про Європейський суд </w:t>
      </w:r>
      <w:hyperlink r:id="rId23" w:history="1">
        <w:r w:rsidRPr="00AE3C4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https://www.youtube.com/watch?v=VHL_sgXVHiE&amp;feature=youtu.be</w:t>
        </w:r>
      </w:hyperlink>
      <w:r w:rsidRPr="00AE3C40">
        <w:rPr>
          <w:rFonts w:asciiTheme="minorHAnsi" w:eastAsia="Times New Roman" w:hAnsiTheme="minorHAnsi" w:cstheme="minorHAnsi"/>
          <w:sz w:val="22"/>
          <w:szCs w:val="22"/>
        </w:rPr>
        <w:t>  </w:t>
      </w:r>
    </w:p>
    <w:p w14:paraId="472BA73C" w14:textId="77777777" w:rsidR="00AE3C40" w:rsidRPr="00AE3C40" w:rsidRDefault="002D1682" w:rsidP="000E7995">
      <w:pPr>
        <w:pStyle w:val="a0"/>
        <w:numPr>
          <w:ilvl w:val="0"/>
          <w:numId w:val="44"/>
        </w:numPr>
        <w:spacing w:line="240" w:lineRule="auto"/>
        <w:ind w:left="0" w:right="-284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E3C40">
        <w:rPr>
          <w:rFonts w:asciiTheme="minorHAnsi" w:eastAsia="Times New Roman" w:hAnsiTheme="minorHAnsi" w:cstheme="minorHAnsi"/>
          <w:sz w:val="22"/>
          <w:szCs w:val="22"/>
        </w:rPr>
        <w:t xml:space="preserve">Прочитати текст Європейської конвенції про захист прав людини та основоположних свобод (посилання </w:t>
      </w:r>
      <w:hyperlink r:id="rId24" w:history="1">
        <w:r w:rsidRPr="00AE3C4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https://www.echr.coe.int/Documents/Convention_UKR.pdf</w:t>
        </w:r>
      </w:hyperlink>
      <w:r w:rsidRPr="00AE3C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691065C" w14:textId="00974B2D" w:rsidR="002D1682" w:rsidRPr="00AE3C40" w:rsidRDefault="002D1682" w:rsidP="000E7995">
      <w:pPr>
        <w:pStyle w:val="a0"/>
        <w:numPr>
          <w:ilvl w:val="0"/>
          <w:numId w:val="44"/>
        </w:numPr>
        <w:spacing w:line="240" w:lineRule="auto"/>
        <w:ind w:left="0" w:right="-284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1C4784C9" w14:textId="77777777" w:rsidR="00AE3C40" w:rsidRDefault="002D1682" w:rsidP="000E7995">
      <w:pPr>
        <w:pStyle w:val="a0"/>
        <w:spacing w:line="240" w:lineRule="auto"/>
        <w:ind w:left="0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3C40">
        <w:rPr>
          <w:rFonts w:asciiTheme="minorHAnsi" w:eastAsia="Times New Roman" w:hAnsiTheme="minorHAnsi" w:cstheme="minorHAnsi"/>
          <w:sz w:val="22"/>
          <w:szCs w:val="22"/>
        </w:rPr>
        <w:t>Неділенько та інші проти України (переклад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br/>
        <w:t>українською за посиланням </w:t>
      </w:r>
      <w:hyperlink r:id="rId25" w:history="1">
        <w:r w:rsidRPr="00AE3C4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https://zakon.rada.gov.ua/laws/show/974_c72</w:t>
        </w:r>
      </w:hyperlink>
      <w:r w:rsidRPr="00AE3C40">
        <w:rPr>
          <w:rFonts w:asciiTheme="minorHAnsi" w:eastAsia="Times New Roman" w:hAnsiTheme="minorHAnsi" w:cstheme="minorHAnsi"/>
          <w:sz w:val="22"/>
          <w:szCs w:val="22"/>
        </w:rPr>
        <w:t>).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br/>
        <w:t>Петухов проти України (№ 2) (яке є значно більшим за розміром, переклад Українською за посиланням </w:t>
      </w:r>
      <w:hyperlink r:id="rId26" w:history="1">
        <w:r w:rsidRPr="00AE3C40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https://zakon.rada.gov.ua/laws/show/974_d98</w:t>
        </w:r>
      </w:hyperlink>
    </w:p>
    <w:p w14:paraId="34ADDEC0" w14:textId="00BAE09D" w:rsidR="002D1682" w:rsidRPr="00AE3C40" w:rsidRDefault="002D1682" w:rsidP="000E7995">
      <w:pPr>
        <w:pStyle w:val="a0"/>
        <w:spacing w:line="240" w:lineRule="auto"/>
        <w:ind w:left="0" w:right="-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E3C40">
        <w:rPr>
          <w:rFonts w:asciiTheme="minorHAnsi" w:eastAsia="Times New Roman" w:hAnsiTheme="minorHAnsi" w:cstheme="minorHAnsi"/>
          <w:sz w:val="22"/>
          <w:szCs w:val="22"/>
        </w:rPr>
        <w:t>При ознайомленні з рішеннями прошу звернути увагу на їх структуру,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br/>
        <w:t>систему цитування власної практики, рубрикацію (поділ на частини та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br/>
        <w:t>підзаголовки), наявність окремих думок суддів (із якими можна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br/>
        <w:t>ознайомлюватися за бажанням).</w:t>
      </w:r>
      <w:r w:rsidRPr="00AE3C40">
        <w:rPr>
          <w:rFonts w:asciiTheme="minorHAnsi" w:eastAsia="Times New Roman" w:hAnsiTheme="minorHAnsi" w:cstheme="minorHAnsi"/>
          <w:sz w:val="22"/>
          <w:szCs w:val="22"/>
        </w:rPr>
        <w:br/>
        <w:t>В справі Пєтухова №2 пропонується звернути особливу увагу на пункти 169-187.</w:t>
      </w:r>
    </w:p>
    <w:p w14:paraId="5C85086F" w14:textId="70BB70E0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52457A" w14:textId="7BD61323" w:rsidR="008175C6" w:rsidRPr="00F66D1F" w:rsidRDefault="008175C6" w:rsidP="00F66D1F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Практичне заняття 2. </w:t>
      </w:r>
    </w:p>
    <w:p w14:paraId="6B402F43" w14:textId="77777777" w:rsidR="008175C6" w:rsidRPr="00F66D1F" w:rsidRDefault="008175C6" w:rsidP="00F66D1F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Тема 2. Принципи діяльності ЄСПЛ.</w:t>
      </w:r>
    </w:p>
    <w:p w14:paraId="1862044B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09C45D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Принципи тлумачення Конвенції (відповідного розуміння прав людини) в практиці ЄСПЛ</w:t>
      </w:r>
    </w:p>
    <w:p w14:paraId="062F271D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Ефективне тлумачення Конвенції (ефективний захист прав людини)</w:t>
      </w:r>
    </w:p>
    <w:p w14:paraId="59FC4240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Динамічне тлумачення</w:t>
      </w:r>
    </w:p>
    <w:p w14:paraId="3D8677DC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Об’єктивне тлумачення та автономне тлумачення</w:t>
      </w:r>
    </w:p>
    <w:p w14:paraId="6AB10F0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Певна свобода національного розсуду</w:t>
      </w:r>
    </w:p>
    <w:p w14:paraId="2599A2A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Принцип правової визначеності в тлумаченні Конвенції</w:t>
      </w:r>
      <w:r w:rsidRPr="00F20DC3">
        <w:rPr>
          <w:rFonts w:asciiTheme="minorHAnsi" w:hAnsiTheme="minorHAnsi" w:cstheme="minorHAnsi"/>
          <w:sz w:val="22"/>
          <w:szCs w:val="22"/>
          <w:lang w:val="uk-UA"/>
        </w:rPr>
        <w:tab/>
      </w:r>
    </w:p>
    <w:p w14:paraId="1200F1B4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Значення преамбули та ст. 1 Конвенції</w:t>
      </w:r>
    </w:p>
    <w:p w14:paraId="4945397E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Верховенство права</w:t>
      </w:r>
    </w:p>
    <w:p w14:paraId="7FBB6BF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Юридична (правова) визначеність</w:t>
      </w:r>
    </w:p>
    <w:p w14:paraId="5429D0B9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lastRenderedPageBreak/>
        <w:t>Якість закону</w:t>
      </w:r>
    </w:p>
    <w:p w14:paraId="63393BEC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Законність втручання в право, охоронюване Конвенцією (обмеження такого права) – “трискладовий тест”.</w:t>
      </w:r>
    </w:p>
    <w:p w14:paraId="210998A5" w14:textId="77777777" w:rsidR="008175C6" w:rsidRPr="00F66D1F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769A016" w14:textId="1B3D0D64" w:rsidR="008175C6" w:rsidRPr="00BA0AFC" w:rsidRDefault="008175C6" w:rsidP="00BA0AFC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Практичне заняття 3.</w:t>
      </w:r>
    </w:p>
    <w:p w14:paraId="2A2F6826" w14:textId="45ED0864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Тема 3. </w:t>
      </w:r>
      <w:r w:rsidRPr="00F66D1F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Право на справедливий суд.</w:t>
      </w: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7BB52E4" w14:textId="77777777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CC0D390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Компоненти права на справедливий суд</w:t>
      </w:r>
    </w:p>
    <w:p w14:paraId="3C813BE4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доступ до суду</w:t>
      </w:r>
    </w:p>
    <w:p w14:paraId="44E37F0E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Елементи права на захист</w:t>
      </w:r>
    </w:p>
    <w:p w14:paraId="668E252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Чому важливо право на доступ до захисника</w:t>
      </w:r>
    </w:p>
    <w:p w14:paraId="76337C83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Рівність сторін</w:t>
      </w:r>
    </w:p>
    <w:p w14:paraId="303CB4C3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Обґрунтованість (мотивованість) рішень суду</w:t>
      </w:r>
    </w:p>
    <w:p w14:paraId="23EF6A65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зберігати мовчання і не свідчити проти себе</w:t>
      </w:r>
    </w:p>
    <w:p w14:paraId="32D1581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публічність провадження</w:t>
      </w:r>
    </w:p>
    <w:p w14:paraId="242D5B6D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розгляд справи в розумний строк</w:t>
      </w:r>
    </w:p>
    <w:p w14:paraId="7B191BBE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Автономне поняття «суд»</w:t>
      </w:r>
    </w:p>
    <w:p w14:paraId="0D4A3C3E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Судовий контроль рішень адміністративних органів</w:t>
      </w:r>
    </w:p>
    <w:p w14:paraId="73F5BF8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Суд, встановлений законом</w:t>
      </w:r>
    </w:p>
    <w:p w14:paraId="35C0C5C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Незалежність та безсторонність (impartiality) (неупередженість) суду</w:t>
      </w:r>
    </w:p>
    <w:p w14:paraId="2CDB44D2" w14:textId="44D9E4B7" w:rsidR="000E7995" w:rsidRDefault="000E7995" w:rsidP="000E7995">
      <w:pPr>
        <w:jc w:val="both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Принцип res judicata (вирішена справа) – складова правової визначеності</w:t>
      </w:r>
    </w:p>
    <w:p w14:paraId="7628076F" w14:textId="77777777" w:rsidR="00023910" w:rsidRDefault="00023910" w:rsidP="000E79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FEB89" w14:textId="501410F4" w:rsidR="00AE3C40" w:rsidRPr="00AE3C40" w:rsidRDefault="00AE3C40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E3C40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113BD032" w14:textId="77777777" w:rsidR="00AE3C40" w:rsidRPr="00AE3C40" w:rsidRDefault="00AE3C40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3EAED772" w14:textId="687CC1E8" w:rsidR="00AE3C40" w:rsidRPr="00AE3C40" w:rsidRDefault="00AE3C40" w:rsidP="000E7995">
      <w:pPr>
        <w:pStyle w:val="a0"/>
        <w:numPr>
          <w:ilvl w:val="0"/>
          <w:numId w:val="45"/>
        </w:numPr>
        <w:spacing w:line="240" w:lineRule="auto"/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Нечипорук і Йонкало проти України</w:t>
      </w:r>
      <w:r w:rsidR="009D6EA8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 (повністю)</w:t>
      </w:r>
    </w:p>
    <w:p w14:paraId="548BFC9D" w14:textId="77777777" w:rsidR="00AE3C40" w:rsidRPr="00AE3C40" w:rsidRDefault="00AE3C40" w:rsidP="000E7995">
      <w:pPr>
        <w:pStyle w:val="a0"/>
        <w:numPr>
          <w:ilvl w:val="0"/>
          <w:numId w:val="45"/>
        </w:numPr>
        <w:spacing w:line="240" w:lineRule="auto"/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Луценко проти України (повністю)</w:t>
      </w:r>
    </w:p>
    <w:p w14:paraId="196708D3" w14:textId="20CA4ECF" w:rsidR="00AE3C40" w:rsidRPr="00AE3C40" w:rsidRDefault="00AE3C40" w:rsidP="000E7995">
      <w:pPr>
        <w:pStyle w:val="a0"/>
        <w:numPr>
          <w:ilvl w:val="0"/>
          <w:numId w:val="45"/>
        </w:numPr>
        <w:spacing w:line="240" w:lineRule="auto"/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Тимошенко проти України (зокрема, пп. 276 і наступні).</w:t>
      </w:r>
    </w:p>
    <w:p w14:paraId="5299D41D" w14:textId="0C3E31F8" w:rsidR="008175C6" w:rsidRPr="00F66D1F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94DAD4E" w14:textId="3CDB690C" w:rsidR="008175C6" w:rsidRPr="00BA0AFC" w:rsidRDefault="008175C6" w:rsidP="00BA0AFC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Практичне заняття 4.</w:t>
      </w:r>
    </w:p>
    <w:p w14:paraId="53FE3EE9" w14:textId="3167BFF7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Тема 3. </w:t>
      </w:r>
      <w:r w:rsidRPr="00F66D1F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Право на справедливий суд.</w:t>
      </w: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BC0459D" w14:textId="77777777" w:rsidR="008175C6" w:rsidRPr="00F66D1F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F49178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Автономне поняття «Кримінальне обвинувачення»</w:t>
      </w:r>
    </w:p>
    <w:p w14:paraId="02179DCA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Приклади справ, що в практиці ЄСПЛ розглядаються як кримінальні</w:t>
      </w:r>
    </w:p>
    <w:p w14:paraId="5F0CED6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Критерії для розгляду справ про штрафні донарахування податків як кримінальних</w:t>
      </w:r>
    </w:p>
    <w:p w14:paraId="0DFC69E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Право на оскарження в кримінальних справах</w:t>
      </w:r>
    </w:p>
    <w:p w14:paraId="27779976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Презумпція невинуватості та її призначення</w:t>
      </w:r>
    </w:p>
    <w:p w14:paraId="324715D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Елементи презумпції невинуватості</w:t>
      </w:r>
    </w:p>
    <w:p w14:paraId="6C1DA801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Приклади порушення презумпції невинуватості</w:t>
      </w:r>
    </w:p>
    <w:p w14:paraId="48C3127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Неможливість вважати особу винуватою, якщо не було повного розгляду</w:t>
      </w:r>
    </w:p>
    <w:p w14:paraId="7EA852D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 xml:space="preserve">Ухилення суду від розгляду справи </w:t>
      </w:r>
      <w:r w:rsidRPr="00F20DC3">
        <w:rPr>
          <w:rFonts w:asciiTheme="minorHAnsi" w:hAnsiTheme="minorHAnsi" w:cstheme="minorHAnsi"/>
          <w:sz w:val="22"/>
          <w:szCs w:val="22"/>
          <w:cs/>
          <w:lang w:val="uk-UA"/>
        </w:rPr>
        <w:t>–</w:t>
      </w:r>
      <w:r w:rsidRPr="00F20DC3">
        <w:rPr>
          <w:rFonts w:asciiTheme="minorHAnsi" w:hAnsiTheme="minorHAnsi" w:cstheme="minorHAnsi"/>
          <w:sz w:val="22"/>
          <w:szCs w:val="22"/>
          <w:lang w:val="uk-UA"/>
        </w:rPr>
        <w:t xml:space="preserve"> порушення права на справедливий суд</w:t>
      </w:r>
    </w:p>
    <w:p w14:paraId="1A7F0CBA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Поняття “спір” (dispute)</w:t>
      </w:r>
    </w:p>
    <w:p w14:paraId="1717F08C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Автономне поняття “Цивільні права і обов'язки”</w:t>
      </w:r>
    </w:p>
    <w:p w14:paraId="0C73EE73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Інші (крім основного розгляду) стадії проходження справи як складова судового розгляду</w:t>
      </w:r>
    </w:p>
    <w:p w14:paraId="42B7A593" w14:textId="77777777" w:rsidR="008175C6" w:rsidRPr="000E7995" w:rsidRDefault="008175C6" w:rsidP="000E799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C16852" w14:textId="3554320A" w:rsidR="008175C6" w:rsidRPr="00BA0AFC" w:rsidRDefault="008175C6" w:rsidP="00BA0AFC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Практичне заняття 5.</w:t>
      </w:r>
    </w:p>
    <w:p w14:paraId="6ECBF24B" w14:textId="77777777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Тема 4. </w:t>
      </w:r>
      <w:r w:rsidRPr="00F66D1F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Право на свободу та особисту недоторканність.</w:t>
      </w:r>
    </w:p>
    <w:p w14:paraId="211B25A7" w14:textId="77777777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</w:pPr>
    </w:p>
    <w:p w14:paraId="35559615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Мета статті 5 Конвенції – захист особи від свавілля</w:t>
      </w:r>
    </w:p>
    <w:p w14:paraId="2F6B82CA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Основні характеристики права на свободу та особисту недоторканність</w:t>
      </w:r>
    </w:p>
    <w:p w14:paraId="4A854D15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Позбавлення свободи як автономне поняття в практиці ЄСПЛ</w:t>
      </w:r>
    </w:p>
    <w:p w14:paraId="76EB0654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Сфера застосування статті 5</w:t>
      </w:r>
    </w:p>
    <w:p w14:paraId="315EAD57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ідстави взяття під варту в вигляді запобіжного заходу (п. 1(с) Конвенції)</w:t>
      </w:r>
    </w:p>
    <w:p w14:paraId="182CC0F1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Поняття обґрунтованої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ідозри</w:t>
      </w:r>
    </w:p>
    <w:p w14:paraId="07F2AB55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Повідомлення причин затримання</w:t>
      </w:r>
    </w:p>
    <w:p w14:paraId="03A37DD3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Судовий контроль за затриманням</w:t>
      </w:r>
    </w:p>
    <w:p w14:paraId="321EC5FE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Р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ізні стадії судового контролю над затриманням і триманням під вартою без вироку суду</w:t>
      </w:r>
    </w:p>
    <w:p w14:paraId="619E7FE8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lastRenderedPageBreak/>
        <w:t>Розумність строку розгляду справи затриманої особи</w:t>
      </w:r>
    </w:p>
    <w:p w14:paraId="189DD0EF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Особлива ретельність при розслідуванні справ осіб, що тримаються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 вартою</w:t>
      </w:r>
    </w:p>
    <w:p w14:paraId="796518A5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Ризики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для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 правомірної відмови в досудовому звільненні</w:t>
      </w:r>
    </w:p>
    <w:p w14:paraId="366F5825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Ризик втечі</w:t>
      </w:r>
    </w:p>
    <w:p w14:paraId="689553FD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Ризик перешкоджання правосуддю</w:t>
      </w:r>
    </w:p>
    <w:p w14:paraId="43C3F4DD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Ризик вчинення правопорушень</w:t>
      </w:r>
    </w:p>
    <w:p w14:paraId="4F95A7F6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Конкретність ризику</w:t>
      </w:r>
    </w:p>
    <w:p w14:paraId="3B5974DD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Недостатність самої обґрунтованої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ідозри для продовжуваного тримання під вартою</w:t>
      </w:r>
    </w:p>
    <w:p w14:paraId="71E51CB9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>Альтернативний запобіжний захід, зокрема застава</w:t>
      </w:r>
    </w:p>
    <w:p w14:paraId="7D8BC842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Три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р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>ізні підстави для судового контролю</w:t>
      </w:r>
    </w:p>
    <w:p w14:paraId="5A0209CE" w14:textId="78B22E0C" w:rsidR="008175C6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Право вимагати перевірки судом правомірності тримання </w:t>
      </w:r>
      <w:proofErr w:type="gramStart"/>
      <w:r w:rsidRPr="00F20DC3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ід вартою </w:t>
      </w:r>
      <w:r w:rsidRPr="00F20DC3">
        <w:rPr>
          <w:rFonts w:asciiTheme="minorHAnsi" w:hAnsiTheme="minorHAnsi" w:cstheme="minorHAnsi"/>
          <w:sz w:val="22"/>
          <w:szCs w:val="22"/>
          <w:cs/>
        </w:rPr>
        <w:t>–</w:t>
      </w: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0DC3">
        <w:rPr>
          <w:rFonts w:asciiTheme="minorHAnsi" w:hAnsiTheme="minorHAnsi" w:cstheme="minorHAnsi"/>
          <w:sz w:val="22"/>
          <w:szCs w:val="22"/>
        </w:rPr>
        <w:t>habeas</w:t>
      </w:r>
      <w:r w:rsidRPr="00F20DC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0DC3">
        <w:rPr>
          <w:rFonts w:asciiTheme="minorHAnsi" w:hAnsiTheme="minorHAnsi" w:cstheme="minorHAnsi"/>
          <w:sz w:val="22"/>
          <w:szCs w:val="22"/>
        </w:rPr>
        <w:t>corpus</w:t>
      </w:r>
    </w:p>
    <w:p w14:paraId="669D84F5" w14:textId="77777777" w:rsidR="00023910" w:rsidRPr="000E7995" w:rsidRDefault="00023910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14:paraId="0CF94651" w14:textId="77777777" w:rsidR="00AE3C40" w:rsidRPr="00AE3C40" w:rsidRDefault="00AE3C40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E3C40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520B53D0" w14:textId="77777777" w:rsidR="00AE3C40" w:rsidRPr="00AE3C40" w:rsidRDefault="00AE3C40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179B355C" w14:textId="77777777" w:rsidR="00AE3C40" w:rsidRPr="00AE3C40" w:rsidRDefault="00AE3C40" w:rsidP="000E7995">
      <w:pPr>
        <w:pStyle w:val="a0"/>
        <w:numPr>
          <w:ilvl w:val="0"/>
          <w:numId w:val="46"/>
        </w:numPr>
        <w:spacing w:line="240" w:lineRule="auto"/>
        <w:ind w:left="0" w:firstLine="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val="ru-RU"/>
        </w:rPr>
      </w:pPr>
      <w:r w:rsidRPr="00AE3C4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Олександр Волков проти України (особливо пп. 3, 37, 42 - 45, 83, 133-140)</w:t>
      </w:r>
    </w:p>
    <w:p w14:paraId="385ABDAC" w14:textId="77777777" w:rsidR="00AE3C40" w:rsidRPr="00AE3C40" w:rsidRDefault="00AE3C40" w:rsidP="000E7995">
      <w:pPr>
        <w:pStyle w:val="a0"/>
        <w:numPr>
          <w:ilvl w:val="0"/>
          <w:numId w:val="46"/>
        </w:numPr>
        <w:spacing w:line="240" w:lineRule="auto"/>
        <w:ind w:left="0" w:firstLine="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val="ru-RU"/>
        </w:rPr>
      </w:pPr>
      <w:r w:rsidRPr="00AE3C4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Устименко проти України (особливо пп. 46-54)</w:t>
      </w:r>
    </w:p>
    <w:p w14:paraId="0C2B529E" w14:textId="77777777" w:rsidR="00AE3C40" w:rsidRPr="00AE3C40" w:rsidRDefault="00AE3C40" w:rsidP="000E7995">
      <w:pPr>
        <w:pStyle w:val="a0"/>
        <w:numPr>
          <w:ilvl w:val="0"/>
          <w:numId w:val="46"/>
        </w:numPr>
        <w:spacing w:line="240" w:lineRule="auto"/>
        <w:ind w:left="0" w:firstLine="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val="ru-RU"/>
        </w:rPr>
      </w:pPr>
      <w:r w:rsidRPr="00AE3C4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Полторацький проти України (особливо пп. 150-162),</w:t>
      </w:r>
    </w:p>
    <w:p w14:paraId="750D36C9" w14:textId="77777777" w:rsidR="00AE3C40" w:rsidRPr="00AE3C40" w:rsidRDefault="00AE3C40" w:rsidP="000E7995">
      <w:pPr>
        <w:pStyle w:val="a0"/>
        <w:numPr>
          <w:ilvl w:val="0"/>
          <w:numId w:val="46"/>
        </w:numPr>
        <w:spacing w:line="240" w:lineRule="auto"/>
        <w:ind w:left="0" w:firstLine="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val="ru-RU"/>
        </w:rPr>
      </w:pPr>
      <w:r w:rsidRPr="00AE3C4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Вєрєнцов проти України (особливо пп. 58-67)</w:t>
      </w:r>
    </w:p>
    <w:p w14:paraId="16FBB07D" w14:textId="50AE5B70" w:rsidR="00AE3C40" w:rsidRPr="00AE3C40" w:rsidRDefault="00AE3C40" w:rsidP="000E7995">
      <w:pPr>
        <w:pStyle w:val="a0"/>
        <w:numPr>
          <w:ilvl w:val="0"/>
          <w:numId w:val="46"/>
        </w:numPr>
        <w:spacing w:line="240" w:lineRule="auto"/>
        <w:ind w:left="0" w:firstLine="0"/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val="ru-RU"/>
        </w:rPr>
      </w:pPr>
      <w:r w:rsidRPr="00AE3C40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Салов проти України (особливо пп. 100, 104-117)6. Волохи проти України (особливо пп. 43-54).</w:t>
      </w:r>
    </w:p>
    <w:p w14:paraId="00B72453" w14:textId="77777777" w:rsidR="00AE3C40" w:rsidRPr="00AE3C40" w:rsidRDefault="00AE3C40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B3F137B" w14:textId="35086CA9" w:rsidR="008175C6" w:rsidRPr="00F66D1F" w:rsidRDefault="0038420A" w:rsidP="00F66D1F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>Практичне заняття 6</w:t>
      </w:r>
      <w:r w:rsidR="008175C6"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.</w:t>
      </w:r>
    </w:p>
    <w:p w14:paraId="473E0AFE" w14:textId="35FB438A" w:rsidR="00A7032F" w:rsidRDefault="00A7032F" w:rsidP="00BA0AFC">
      <w:pPr>
        <w:tabs>
          <w:tab w:val="left" w:pos="709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 xml:space="preserve">Тема 5. </w:t>
      </w:r>
      <w:r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Принципи “ніякого покарання </w:t>
      </w:r>
      <w:proofErr w:type="gramStart"/>
      <w:r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>без</w:t>
      </w:r>
      <w:proofErr w:type="gramEnd"/>
      <w:r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закону” та “неможливість двіч</w:t>
      </w:r>
      <w:r w:rsidRPr="00A7032F">
        <w:rPr>
          <w:rFonts w:asciiTheme="minorHAnsi" w:hAnsiTheme="minorHAnsi" w:cstheme="minorHAnsi"/>
          <w:b/>
          <w:i/>
          <w:sz w:val="22"/>
          <w:szCs w:val="22"/>
        </w:rPr>
        <w:t>і</w:t>
      </w:r>
      <w:r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бути притягненим до відповідальності за одне й те саме порушення” в практиці ЄСПЛ.</w:t>
      </w:r>
    </w:p>
    <w:p w14:paraId="035AE1E6" w14:textId="77777777" w:rsidR="00BA0AFC" w:rsidRPr="00A7032F" w:rsidRDefault="00BA0AFC" w:rsidP="00BA0AFC">
      <w:pPr>
        <w:tabs>
          <w:tab w:val="left" w:pos="709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2F829F" w14:textId="77777777" w:rsidR="000E7995" w:rsidRPr="00F20DC3" w:rsidRDefault="000E7995" w:rsidP="000E7995">
      <w:pPr>
        <w:tabs>
          <w:tab w:val="left" w:pos="916"/>
        </w:tabs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Загальна характеристика принципу nullum crimen, nulla poena sine lege – немає покарання без закону.</w:t>
      </w:r>
    </w:p>
    <w:p w14:paraId="0DB2FDC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Чіткість (якість) закону.</w:t>
      </w:r>
    </w:p>
    <w:p w14:paraId="26BEAA5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Покарання як автономне поняття. Відмежування норм, що передбачають покарання, від процесуальних норм, що встановлюють порядок його виконання.</w:t>
      </w:r>
    </w:p>
    <w:p w14:paraId="7B99866C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>Заборона застосування кримінального закону за аналогією</w:t>
      </w:r>
    </w:p>
    <w:p w14:paraId="4BC6CDA0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Передбачуваність закону</w:t>
      </w:r>
    </w:p>
    <w:p w14:paraId="24CB5EA6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принципу заборони зворотної дії закону</w:t>
      </w:r>
    </w:p>
    <w:p w14:paraId="28FAD2E2" w14:textId="44029BEC" w:rsidR="000E7995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принципу non bis in idem – неможливість двічі притягати до відповідальності за одні й ті самі порушення</w:t>
      </w:r>
    </w:p>
    <w:p w14:paraId="33247C4F" w14:textId="77777777" w:rsidR="00023910" w:rsidRPr="00F20DC3" w:rsidRDefault="00023910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</w:p>
    <w:p w14:paraId="3861F47F" w14:textId="77777777" w:rsidR="00AE3C40" w:rsidRPr="00AE3C40" w:rsidRDefault="00AE3C40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E3C40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20ED7A84" w14:textId="77777777" w:rsidR="00AE3C40" w:rsidRPr="00AE3C40" w:rsidRDefault="00AE3C40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5A66228C" w14:textId="77777777" w:rsidR="000E7995" w:rsidRDefault="00AE3C40" w:rsidP="000E7995">
      <w:pPr>
        <w:pStyle w:val="a0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BA0AFC">
        <w:rPr>
          <w:rFonts w:asciiTheme="minorHAnsi" w:hAnsiTheme="minorHAnsi" w:cstheme="minorHAnsi"/>
          <w:sz w:val="22"/>
          <w:szCs w:val="22"/>
          <w:lang w:val="ru-RU"/>
        </w:rPr>
        <w:t xml:space="preserve">Рубан проти України (заява №8927/11) </w:t>
      </w:r>
    </w:p>
    <w:p w14:paraId="061CD924" w14:textId="77777777" w:rsidR="000E7995" w:rsidRDefault="00AE3C40" w:rsidP="000E7995">
      <w:pPr>
        <w:pStyle w:val="a0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0E7995">
        <w:rPr>
          <w:rFonts w:asciiTheme="minorHAnsi" w:hAnsiTheme="minorHAnsi" w:cstheme="minorHAnsi"/>
          <w:sz w:val="22"/>
          <w:szCs w:val="22"/>
          <w:lang w:val="ru-RU"/>
        </w:rPr>
        <w:t>Киприану против Кипра</w:t>
      </w:r>
    </w:p>
    <w:p w14:paraId="551F0B88" w14:textId="77777777" w:rsidR="000E7995" w:rsidRDefault="00AE3C40" w:rsidP="000E7995">
      <w:pPr>
        <w:pStyle w:val="a0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0E7995">
        <w:rPr>
          <w:rFonts w:asciiTheme="minorHAnsi" w:hAnsiTheme="minorHAnsi" w:cstheme="minorHAnsi"/>
          <w:sz w:val="22"/>
          <w:szCs w:val="22"/>
        </w:rPr>
        <w:t>KAFKARIS</w:t>
      </w:r>
      <w:r w:rsidRPr="000E799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E7995">
        <w:rPr>
          <w:rFonts w:asciiTheme="minorHAnsi" w:hAnsiTheme="minorHAnsi" w:cstheme="minorHAnsi"/>
          <w:sz w:val="22"/>
          <w:szCs w:val="22"/>
        </w:rPr>
        <w:t>v</w:t>
      </w:r>
      <w:r w:rsidRPr="000E7995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0E7995">
        <w:rPr>
          <w:rFonts w:asciiTheme="minorHAnsi" w:hAnsiTheme="minorHAnsi" w:cstheme="minorHAnsi"/>
          <w:sz w:val="22"/>
          <w:szCs w:val="22"/>
        </w:rPr>
        <w:t>CYPRUS</w:t>
      </w:r>
      <w:r w:rsidRPr="000E7995">
        <w:rPr>
          <w:rFonts w:asciiTheme="minorHAnsi" w:hAnsiTheme="minorHAnsi" w:cstheme="minorHAnsi"/>
          <w:sz w:val="22"/>
          <w:szCs w:val="22"/>
          <w:lang w:val="ru-RU"/>
        </w:rPr>
        <w:t>(Велика Палата, особливо п. 143-152)</w:t>
      </w:r>
    </w:p>
    <w:p w14:paraId="64E821B4" w14:textId="19C5D23C" w:rsidR="00AE3C40" w:rsidRPr="00023910" w:rsidRDefault="00AE3C40" w:rsidP="000E7995">
      <w:pPr>
        <w:pStyle w:val="a0"/>
        <w:numPr>
          <w:ilvl w:val="0"/>
          <w:numId w:val="46"/>
        </w:numPr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0E7995">
        <w:rPr>
          <w:rFonts w:asciiTheme="minorHAnsi" w:hAnsiTheme="minorHAnsi" w:cstheme="minorHAnsi"/>
          <w:sz w:val="22"/>
          <w:szCs w:val="22"/>
        </w:rPr>
        <w:t>SCOPPOLA v. ITALY (No. 2) (особливо п. 102-109).</w:t>
      </w:r>
    </w:p>
    <w:p w14:paraId="0CB4B3AF" w14:textId="77777777" w:rsidR="008175C6" w:rsidRPr="00F66D1F" w:rsidRDefault="008175C6" w:rsidP="00A7032F">
      <w:pPr>
        <w:tabs>
          <w:tab w:val="left" w:pos="709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E658886" w14:textId="144C951E" w:rsidR="008175C6" w:rsidRPr="00BA0AFC" w:rsidRDefault="0038420A" w:rsidP="00BA0AFC">
      <w:pPr>
        <w:pStyle w:val="HTML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uk-UA"/>
        </w:rPr>
        <w:t>Практичне заняття 7</w:t>
      </w:r>
      <w:r w:rsidR="008175C6" w:rsidRPr="00F66D1F">
        <w:rPr>
          <w:rFonts w:asciiTheme="minorHAnsi" w:hAnsiTheme="minorHAnsi" w:cstheme="minorHAnsi"/>
          <w:b/>
          <w:i/>
          <w:sz w:val="22"/>
          <w:szCs w:val="22"/>
          <w:lang w:val="uk-UA"/>
        </w:rPr>
        <w:t>.</w:t>
      </w:r>
    </w:p>
    <w:p w14:paraId="08335A32" w14:textId="475788BA" w:rsidR="008175C6" w:rsidRPr="00F66D1F" w:rsidRDefault="008175C6" w:rsidP="00A7032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Тема 6. </w:t>
      </w:r>
      <w:r w:rsidR="00A7032F"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Заборона катування, нелюдського чи такого, що принижує </w:t>
      </w:r>
      <w:proofErr w:type="gramStart"/>
      <w:r w:rsidR="00A7032F"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>г</w:t>
      </w:r>
      <w:proofErr w:type="gramEnd"/>
      <w:r w:rsidR="00A7032F" w:rsidRPr="00A7032F">
        <w:rPr>
          <w:rFonts w:asciiTheme="minorHAnsi" w:hAnsiTheme="minorHAnsi" w:cstheme="minorHAnsi"/>
          <w:b/>
          <w:i/>
          <w:sz w:val="22"/>
          <w:szCs w:val="22"/>
          <w:lang w:val="ru-RU"/>
        </w:rPr>
        <w:t>ідність, поводження або покарання в практиці ЄСПЛ.</w:t>
      </w:r>
    </w:p>
    <w:p w14:paraId="3517D7A7" w14:textId="77777777" w:rsidR="008175C6" w:rsidRPr="00F66D1F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E4EF876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Загальні положення щодо заборони катувань</w:t>
      </w:r>
    </w:p>
    <w:p w14:paraId="169EA594" w14:textId="77777777" w:rsidR="000E7995" w:rsidRPr="00F20DC3" w:rsidRDefault="000E7995" w:rsidP="00023910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>Види зобов’язань держав за ст. 3 Конвенції</w:t>
      </w:r>
    </w:p>
    <w:p w14:paraId="5F42E905" w14:textId="77777777" w:rsidR="000E7995" w:rsidRPr="00F20DC3" w:rsidRDefault="000E7995" w:rsidP="00023910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Три </w:t>
      </w:r>
      <w:r w:rsidRPr="00F20DC3">
        <w:rPr>
          <w:rFonts w:asciiTheme="minorHAnsi" w:hAnsiTheme="minorHAnsi" w:cstheme="minorHAnsi"/>
          <w:bCs/>
          <w:sz w:val="22"/>
          <w:szCs w:val="22"/>
        </w:rPr>
        <w:t xml:space="preserve">категорії </w:t>
      </w:r>
      <w:r w:rsidRPr="00F20DC3">
        <w:rPr>
          <w:rFonts w:asciiTheme="minorHAnsi" w:hAnsiTheme="minorHAnsi" w:cstheme="minorHAnsi"/>
          <w:bCs/>
          <w:sz w:val="22"/>
          <w:szCs w:val="22"/>
          <w:lang w:val="uk-UA"/>
        </w:rPr>
        <w:t>жорстокого поводження</w:t>
      </w:r>
    </w:p>
    <w:p w14:paraId="24F23EE2" w14:textId="77777777" w:rsidR="000E7995" w:rsidRPr="00F20DC3" w:rsidRDefault="000E7995" w:rsidP="00023910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 xml:space="preserve">Мінімальний </w:t>
      </w:r>
      <w:proofErr w:type="gramStart"/>
      <w:r w:rsidRPr="00F20DC3">
        <w:rPr>
          <w:rFonts w:asciiTheme="minorHAnsi" w:hAnsiTheme="minorHAnsi" w:cstheme="minorHAnsi"/>
          <w:bCs/>
          <w:sz w:val="22"/>
          <w:szCs w:val="22"/>
        </w:rPr>
        <w:t>р</w:t>
      </w:r>
      <w:proofErr w:type="gramEnd"/>
      <w:r w:rsidRPr="00F20DC3">
        <w:rPr>
          <w:rFonts w:asciiTheme="minorHAnsi" w:hAnsiTheme="minorHAnsi" w:cstheme="minorHAnsi"/>
          <w:bCs/>
          <w:sz w:val="22"/>
          <w:szCs w:val="22"/>
        </w:rPr>
        <w:t>івень жорстокості</w:t>
      </w:r>
    </w:p>
    <w:p w14:paraId="7C632450" w14:textId="77777777" w:rsidR="000E7995" w:rsidRPr="00F20DC3" w:rsidRDefault="000E7995" w:rsidP="00023910">
      <w:pPr>
        <w:pStyle w:val="HTML"/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Типові й нетипові випадки, коли судом встановлювалися порушення статті 3 Конвенції</w:t>
      </w:r>
    </w:p>
    <w:p w14:paraId="3E3193F7" w14:textId="1530B0EA" w:rsidR="000E7995" w:rsidRDefault="000E7995" w:rsidP="00023910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Зв'язок статті 3 із іншими статтями Конвенції</w:t>
      </w:r>
    </w:p>
    <w:p w14:paraId="07FFC785" w14:textId="77777777" w:rsidR="00023910" w:rsidRDefault="00023910" w:rsidP="00023910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4288EB" w14:textId="5E38A57D" w:rsidR="00AE3C40" w:rsidRPr="00AE3C40" w:rsidRDefault="00AE3C40" w:rsidP="0002391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E3C40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558B680D" w14:textId="2773C729" w:rsidR="00AE3C40" w:rsidRPr="00AE3C40" w:rsidRDefault="00AE3C40" w:rsidP="00023910">
      <w:pPr>
        <w:pStyle w:val="a0"/>
        <w:spacing w:line="240" w:lineRule="auto"/>
        <w:ind w:left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lastRenderedPageBreak/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600E3B6B" w14:textId="77777777" w:rsidR="000E7995" w:rsidRDefault="00AE3C40" w:rsidP="00023910">
      <w:pPr>
        <w:pStyle w:val="a0"/>
        <w:numPr>
          <w:ilvl w:val="0"/>
          <w:numId w:val="52"/>
        </w:numPr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sz w:val="22"/>
          <w:szCs w:val="22"/>
          <w:lang w:val="ru-RU"/>
        </w:rPr>
        <w:t>Ірланді</w:t>
      </w:r>
      <w:r w:rsidR="000E7995">
        <w:rPr>
          <w:rFonts w:asciiTheme="minorHAnsi" w:eastAsia="Times New Roman" w:hAnsiTheme="minorHAnsi" w:cstheme="minorHAnsi"/>
          <w:sz w:val="22"/>
          <w:szCs w:val="22"/>
          <w:lang w:val="ru-RU"/>
        </w:rPr>
        <w:t>я проти Сполученого королівства</w:t>
      </w:r>
    </w:p>
    <w:p w14:paraId="0E4C00ED" w14:textId="77777777" w:rsidR="000E7995" w:rsidRDefault="00AE3C40" w:rsidP="00023910">
      <w:pPr>
        <w:pStyle w:val="a0"/>
        <w:numPr>
          <w:ilvl w:val="0"/>
          <w:numId w:val="52"/>
        </w:numPr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sz w:val="22"/>
          <w:szCs w:val="22"/>
          <w:lang w:val="ru-RU"/>
        </w:rPr>
        <w:t>Каверзін проти України</w:t>
      </w:r>
    </w:p>
    <w:p w14:paraId="0132F441" w14:textId="77777777" w:rsidR="000E7995" w:rsidRDefault="00AE3C40" w:rsidP="00023910">
      <w:pPr>
        <w:pStyle w:val="a0"/>
        <w:numPr>
          <w:ilvl w:val="0"/>
          <w:numId w:val="52"/>
        </w:numPr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sz w:val="22"/>
          <w:szCs w:val="22"/>
          <w:lang w:val="ru-RU"/>
        </w:rPr>
        <w:t>Луценко проти України №2</w:t>
      </w:r>
    </w:p>
    <w:p w14:paraId="78D65648" w14:textId="50AFBEAE" w:rsidR="00AE3C40" w:rsidRPr="000E7995" w:rsidRDefault="00AE3C40" w:rsidP="00023910">
      <w:pPr>
        <w:pStyle w:val="a0"/>
        <w:numPr>
          <w:ilvl w:val="0"/>
          <w:numId w:val="52"/>
        </w:numPr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sz w:val="22"/>
          <w:szCs w:val="22"/>
          <w:lang w:val="ru-RU"/>
        </w:rPr>
        <w:t>Сукачов рпоти України.</w:t>
      </w:r>
    </w:p>
    <w:p w14:paraId="46FA3988" w14:textId="312FB9D5" w:rsidR="008175C6" w:rsidRPr="00F66D1F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B2CFD7" w14:textId="172C7E5E" w:rsidR="008175C6" w:rsidRPr="00F66D1F" w:rsidRDefault="0038420A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Практичне заняття 8</w:t>
      </w:r>
      <w:r w:rsidR="008175C6" w:rsidRPr="00F66D1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0DC610C" w14:textId="1C37EA9C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>Тема 7. Право на життя</w:t>
      </w:r>
      <w:r w:rsidR="00FA7632">
        <w:rPr>
          <w:rFonts w:asciiTheme="minorHAnsi" w:hAnsiTheme="minorHAnsi" w:cstheme="minorHAnsi"/>
          <w:b/>
          <w:i/>
          <w:sz w:val="22"/>
          <w:szCs w:val="22"/>
        </w:rPr>
        <w:t xml:space="preserve"> у практиці ЄСПЛ</w:t>
      </w:r>
      <w:r w:rsidR="00FA7632" w:rsidRPr="00F66D1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183B917" w14:textId="77777777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064EA4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Загальна характеристика ст. 2 Конвенції та протоколів №6 та 13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до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неї</w:t>
      </w:r>
    </w:p>
    <w:p w14:paraId="2A7CA6D2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Заборона відступі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та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застережень щодо гарантій права на життя</w:t>
      </w:r>
    </w:p>
    <w:p w14:paraId="0B1897E4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Сфера застосування статті 2 Конвенції</w:t>
      </w:r>
    </w:p>
    <w:p w14:paraId="4987B1E3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Обов’язки держав за статтею 2 Конвенції</w:t>
      </w:r>
    </w:p>
    <w:p w14:paraId="75C023CF" w14:textId="7A95E9DE" w:rsidR="000E7995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Мета і вимоги до ефективного розслідування</w:t>
      </w:r>
    </w:p>
    <w:p w14:paraId="6439DE76" w14:textId="77777777" w:rsidR="00023910" w:rsidRPr="00F20DC3" w:rsidRDefault="00023910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563C587" w14:textId="77777777" w:rsidR="00AE3C40" w:rsidRPr="00AE3C40" w:rsidRDefault="00AE3C40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E3C40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3F9DC68D" w14:textId="77777777" w:rsidR="00AE3C40" w:rsidRPr="00AE3C40" w:rsidRDefault="00AE3C40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374B7892" w14:textId="77777777" w:rsidR="000E7995" w:rsidRPr="000E7995" w:rsidRDefault="00AE3C40" w:rsidP="000E7995">
      <w:pPr>
        <w:pStyle w:val="a0"/>
        <w:numPr>
          <w:ilvl w:val="0"/>
          <w:numId w:val="53"/>
        </w:numPr>
        <w:ind w:left="0" w:firstLine="0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sz w:val="22"/>
          <w:szCs w:val="22"/>
          <w:lang w:val="ru-RU"/>
        </w:rPr>
        <w:t>Гонгадзе проти України</w:t>
      </w:r>
    </w:p>
    <w:p w14:paraId="01567263" w14:textId="77777777" w:rsidR="000E7995" w:rsidRPr="000E7995" w:rsidRDefault="00AE3C40" w:rsidP="000E7995">
      <w:pPr>
        <w:pStyle w:val="a0"/>
        <w:numPr>
          <w:ilvl w:val="0"/>
          <w:numId w:val="53"/>
        </w:numPr>
        <w:ind w:left="0" w:firstLine="0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sz w:val="22"/>
          <w:szCs w:val="22"/>
          <w:lang w:val="ru-RU"/>
        </w:rPr>
        <w:t>Сергій Шевченко проти України</w:t>
      </w:r>
    </w:p>
    <w:p w14:paraId="40A06C33" w14:textId="5542DE49" w:rsidR="00AE3C40" w:rsidRPr="000E7995" w:rsidRDefault="00AE3C40" w:rsidP="000E7995">
      <w:pPr>
        <w:pStyle w:val="a0"/>
        <w:numPr>
          <w:ilvl w:val="0"/>
          <w:numId w:val="53"/>
        </w:numPr>
        <w:ind w:left="0" w:firstLine="0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0E7995">
        <w:rPr>
          <w:rFonts w:asciiTheme="minorHAnsi" w:eastAsia="Times New Roman" w:hAnsiTheme="minorHAnsi" w:cstheme="minorHAnsi"/>
          <w:sz w:val="22"/>
          <w:szCs w:val="22"/>
        </w:rPr>
        <w:t>KUKHALASHVILI</w:t>
      </w:r>
      <w:r w:rsidRPr="000E799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0E7995">
        <w:rPr>
          <w:rFonts w:asciiTheme="minorHAnsi" w:eastAsia="Times New Roman" w:hAnsiTheme="minorHAnsi" w:cstheme="minorHAnsi"/>
          <w:sz w:val="22"/>
          <w:szCs w:val="22"/>
        </w:rPr>
        <w:t>AND</w:t>
      </w:r>
      <w:r w:rsidRPr="000E799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0E7995">
        <w:rPr>
          <w:rFonts w:asciiTheme="minorHAnsi" w:eastAsia="Times New Roman" w:hAnsiTheme="minorHAnsi" w:cstheme="minorHAnsi"/>
          <w:sz w:val="22"/>
          <w:szCs w:val="22"/>
        </w:rPr>
        <w:t>OTHERS</w:t>
      </w:r>
      <w:r w:rsidRPr="000E799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0E7995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0E799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. </w:t>
      </w:r>
      <w:r w:rsidRPr="000E7995">
        <w:rPr>
          <w:rFonts w:asciiTheme="minorHAnsi" w:eastAsia="Times New Roman" w:hAnsiTheme="minorHAnsi" w:cstheme="minorHAnsi"/>
          <w:sz w:val="22"/>
          <w:szCs w:val="22"/>
        </w:rPr>
        <w:t>GEORGIA.</w:t>
      </w:r>
    </w:p>
    <w:p w14:paraId="2A7582ED" w14:textId="77777777" w:rsidR="008175C6" w:rsidRPr="00F66D1F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D32965A" w14:textId="6127BDDA" w:rsidR="008175C6" w:rsidRPr="00BA0AFC" w:rsidRDefault="0038420A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Практичне заняття 9</w:t>
      </w:r>
      <w:r w:rsidR="008175C6" w:rsidRPr="00F66D1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8BEE205" w14:textId="7B2D6F0B" w:rsidR="008175C6" w:rsidRPr="00FA7632" w:rsidRDefault="00FA7632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Тема 8. </w:t>
      </w:r>
      <w:r w:rsidRPr="00FA7632">
        <w:rPr>
          <w:rFonts w:asciiTheme="minorHAnsi" w:hAnsiTheme="minorHAnsi" w:cstheme="minorHAnsi"/>
          <w:b/>
          <w:i/>
          <w:sz w:val="22"/>
          <w:szCs w:val="22"/>
          <w:lang w:val="ru-RU"/>
        </w:rPr>
        <w:t>Свобода вираження погляді</w:t>
      </w:r>
      <w:proofErr w:type="gramStart"/>
      <w:r w:rsidRPr="00FA7632">
        <w:rPr>
          <w:rFonts w:asciiTheme="minorHAnsi" w:hAnsiTheme="minorHAnsi" w:cstheme="minorHAnsi"/>
          <w:b/>
          <w:i/>
          <w:sz w:val="22"/>
          <w:szCs w:val="22"/>
          <w:lang w:val="ru-RU"/>
        </w:rPr>
        <w:t>в</w:t>
      </w:r>
      <w:proofErr w:type="gramEnd"/>
      <w:r w:rsidRPr="00FA7632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, </w:t>
      </w:r>
      <w:proofErr w:type="gramStart"/>
      <w:r w:rsidRPr="00FA7632">
        <w:rPr>
          <w:rFonts w:asciiTheme="minorHAnsi" w:hAnsiTheme="minorHAnsi" w:cstheme="minorHAnsi"/>
          <w:b/>
          <w:i/>
          <w:sz w:val="22"/>
          <w:szCs w:val="22"/>
          <w:lang w:val="ru-RU"/>
        </w:rPr>
        <w:t>свобода</w:t>
      </w:r>
      <w:proofErr w:type="gramEnd"/>
      <w:r w:rsidRPr="00FA7632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 мирних зібрань у практиці ЄСПЛ.</w:t>
      </w:r>
    </w:p>
    <w:p w14:paraId="2DF1C62A" w14:textId="77777777" w:rsidR="008175C6" w:rsidRPr="00F66D1F" w:rsidRDefault="008175C6" w:rsidP="00F66D1F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DB9AE85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права на свободу вираження поглядів</w:t>
      </w:r>
    </w:p>
    <w:p w14:paraId="7768E4E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Вільна преса – “вартовий пес демократії”</w:t>
      </w:r>
    </w:p>
    <w:p w14:paraId="0E2261CA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права на свободу мирних зібрань</w:t>
      </w:r>
    </w:p>
    <w:p w14:paraId="580E3D33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Позитивні обовязки держави щодо захисту права на зібрання</w:t>
      </w:r>
    </w:p>
    <w:p w14:paraId="79A5E7ED" w14:textId="6CBF5FCA" w:rsidR="00023910" w:rsidRDefault="000E7995" w:rsidP="00023910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Зв'язок прав, гарантованих ст. 10, 11 Конвенції, і заборона зловживання правами (за ст. 17 Конвенції)</w:t>
      </w:r>
    </w:p>
    <w:p w14:paraId="04CAA96B" w14:textId="77777777" w:rsidR="00023910" w:rsidRDefault="00023910" w:rsidP="00023910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5666E8C" w14:textId="0ACD1B88" w:rsidR="00AE3C40" w:rsidRPr="00AE3C40" w:rsidRDefault="00AE3C40" w:rsidP="00023910">
      <w:pPr>
        <w:pStyle w:val="HTM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AE3C40">
        <w:rPr>
          <w:rFonts w:asciiTheme="minorHAnsi" w:hAnsiTheme="minorHAnsi" w:cstheme="minorHAnsi"/>
          <w:b/>
          <w:sz w:val="22"/>
          <w:szCs w:val="22"/>
        </w:rPr>
        <w:t>Завдання на самостійну роботу:</w:t>
      </w:r>
    </w:p>
    <w:p w14:paraId="5D8E641D" w14:textId="0E92AD6B" w:rsidR="00AE3C40" w:rsidRPr="00AE3C40" w:rsidRDefault="00AE3C40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 ЄСПЛ у справі Вєрєнцов проти України.</w:t>
      </w:r>
    </w:p>
    <w:p w14:paraId="598A04BD" w14:textId="2C13A169" w:rsidR="008175C6" w:rsidRPr="00F66D1F" w:rsidRDefault="008175C6" w:rsidP="00F66D1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5B16BDE" w14:textId="6031287F" w:rsidR="008175C6" w:rsidRPr="00BA0AFC" w:rsidRDefault="0038420A" w:rsidP="00BA0AFC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Практичне заняття 10</w:t>
      </w:r>
      <w:r w:rsidR="008175C6" w:rsidRPr="00F66D1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9D523C4" w14:textId="77777777" w:rsidR="0078463D" w:rsidRPr="0078463D" w:rsidRDefault="008175C6" w:rsidP="0078463D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 xml:space="preserve">Тема 9. </w:t>
      </w:r>
      <w:r w:rsidR="0078463D" w:rsidRPr="0078463D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Право на повагу до </w:t>
      </w:r>
      <w:proofErr w:type="gramStart"/>
      <w:r w:rsidR="0078463D" w:rsidRPr="0078463D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>приватного</w:t>
      </w:r>
      <w:proofErr w:type="gramEnd"/>
      <w:r w:rsidR="0078463D" w:rsidRPr="0078463D">
        <w:rPr>
          <w:rFonts w:asciiTheme="minorHAnsi" w:hAnsiTheme="minorHAnsi" w:cstheme="minorHAnsi"/>
          <w:b/>
          <w:bCs/>
          <w:i/>
          <w:sz w:val="22"/>
          <w:szCs w:val="22"/>
          <w:lang w:val="ru-RU"/>
        </w:rPr>
        <w:t xml:space="preserve"> і сімейного життя, житла і кореспонденції у практиці ЄСПЛ.</w:t>
      </w:r>
    </w:p>
    <w:p w14:paraId="5D558DEF" w14:textId="60CA01CC" w:rsidR="008175C6" w:rsidRPr="00F66D1F" w:rsidRDefault="008175C6" w:rsidP="00F66D1F">
      <w:pPr>
        <w:spacing w:line="240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5341415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Загальна характеристика прав, гарантованих ст. 8 Конвенції</w:t>
      </w:r>
    </w:p>
    <w:p w14:paraId="0974A803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Основні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>ідходи в практиці Суду</w:t>
      </w:r>
    </w:p>
    <w:p w14:paraId="5B5E22CD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Сфери, які охоплює право на повагу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приватного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життя </w:t>
      </w:r>
    </w:p>
    <w:p w14:paraId="4569F6A7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Аспекти, які охоплює право на повагу сімейного життя </w:t>
      </w:r>
    </w:p>
    <w:p w14:paraId="0D2838E4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Автономне поняття “житло” в практиці ЄСПЛ</w:t>
      </w:r>
    </w:p>
    <w:p w14:paraId="5B1B3C99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Аспекти права на повагу до житла</w:t>
      </w:r>
    </w:p>
    <w:p w14:paraId="3EF09525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 xml:space="preserve">Обшуки як втручання 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в право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 xml:space="preserve"> на повагу до житла</w:t>
      </w:r>
    </w:p>
    <w:p w14:paraId="2E9684EF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Інші аспекти права на повагу до житла</w:t>
      </w:r>
    </w:p>
    <w:p w14:paraId="5F768C28" w14:textId="77777777" w:rsidR="000E7995" w:rsidRPr="00F20DC3" w:rsidRDefault="000E7995" w:rsidP="000E7995">
      <w:pPr>
        <w:pStyle w:val="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Право на повагу до кореспонденції</w:t>
      </w:r>
    </w:p>
    <w:p w14:paraId="3897A261" w14:textId="77777777" w:rsidR="00AE3C40" w:rsidRPr="00AE3C40" w:rsidRDefault="00AE3C40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AE3C40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2C3D3E34" w14:textId="77777777" w:rsidR="00AE3C40" w:rsidRPr="00AE3C40" w:rsidRDefault="00AE3C40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AE3C40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2A934F6C" w14:textId="77777777" w:rsidR="000E7995" w:rsidRDefault="00AE3C40" w:rsidP="000E7995">
      <w:pPr>
        <w:pStyle w:val="a0"/>
        <w:numPr>
          <w:ilvl w:val="0"/>
          <w:numId w:val="54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Ратушна проти України</w:t>
      </w:r>
    </w:p>
    <w:p w14:paraId="78FC99AD" w14:textId="77777777" w:rsidR="000E7995" w:rsidRDefault="00AE3C40" w:rsidP="000E7995">
      <w:pPr>
        <w:pStyle w:val="a0"/>
        <w:numPr>
          <w:ilvl w:val="0"/>
          <w:numId w:val="54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Багієва проти України</w:t>
      </w:r>
    </w:p>
    <w:p w14:paraId="040BC009" w14:textId="1F361627" w:rsidR="00AE3C40" w:rsidRPr="000E7995" w:rsidRDefault="00AE3C40" w:rsidP="000E7995">
      <w:pPr>
        <w:pStyle w:val="a0"/>
        <w:numPr>
          <w:ilvl w:val="0"/>
          <w:numId w:val="54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Бурля та інші проти України.</w:t>
      </w:r>
    </w:p>
    <w:p w14:paraId="69A2954D" w14:textId="04BA7DE6" w:rsidR="008175C6" w:rsidRPr="00AE3C40" w:rsidRDefault="008175C6" w:rsidP="00F66D1F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980E1C6" w14:textId="15B9F6B0" w:rsidR="008175C6" w:rsidRPr="00BA0AFC" w:rsidRDefault="0038420A" w:rsidP="00BA0AFC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Практичне заняття 11</w:t>
      </w:r>
      <w:r w:rsidR="008175C6" w:rsidRPr="00F66D1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5C41D7C" w14:textId="32BCBC6A" w:rsidR="0038420A" w:rsidRDefault="008175C6" w:rsidP="0038420A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38420A">
        <w:rPr>
          <w:rFonts w:asciiTheme="minorHAnsi" w:hAnsiTheme="minorHAnsi" w:cstheme="minorHAnsi"/>
          <w:b/>
          <w:i/>
          <w:sz w:val="22"/>
          <w:szCs w:val="22"/>
        </w:rPr>
        <w:t xml:space="preserve">Тема 10. </w:t>
      </w:r>
      <w:r w:rsidR="0038420A" w:rsidRPr="0038420A">
        <w:rPr>
          <w:rFonts w:asciiTheme="minorHAnsi" w:hAnsiTheme="minorHAnsi" w:cstheme="minorHAnsi"/>
          <w:b/>
          <w:i/>
          <w:sz w:val="22"/>
          <w:szCs w:val="22"/>
          <w:lang w:val="ru-RU"/>
        </w:rPr>
        <w:t>Захист власності в практиці ЄСПЛ.</w:t>
      </w:r>
    </w:p>
    <w:p w14:paraId="0D950B0C" w14:textId="77777777" w:rsidR="000E7995" w:rsidRPr="0038420A" w:rsidRDefault="000E7995" w:rsidP="0038420A">
      <w:pPr>
        <w:tabs>
          <w:tab w:val="left" w:pos="916"/>
        </w:tabs>
        <w:spacing w:line="240" w:lineRule="auto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</w:p>
    <w:p w14:paraId="43D71CB5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ст. 1 Першого протоколу</w:t>
      </w:r>
      <w:r w:rsidRPr="00F20D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51809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lastRenderedPageBreak/>
        <w:t>Автономне поняття «Майно» в практиці ЄСПЛ</w:t>
      </w:r>
    </w:p>
    <w:p w14:paraId="5D27CCC3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Підхід “трьох правил” та втручання в право власності</w:t>
      </w:r>
    </w:p>
    <w:p w14:paraId="5AE73738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20DC3">
        <w:rPr>
          <w:rFonts w:asciiTheme="minorHAnsi" w:hAnsiTheme="minorHAnsi" w:cstheme="minorHAnsi"/>
          <w:bCs/>
          <w:sz w:val="22"/>
          <w:szCs w:val="22"/>
        </w:rPr>
        <w:t>Критерії правомірності втручання у власність</w:t>
      </w:r>
    </w:p>
    <w:p w14:paraId="733E4C23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Алгоритм розгляду справ за ст.1 Протоколу 1</w:t>
      </w:r>
    </w:p>
    <w:p w14:paraId="37FBD107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Суспільний і загальний інтерес</w:t>
      </w:r>
    </w:p>
    <w:p w14:paraId="528ECC30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Пропорційність (”справедливий баланс” чи “надмірний тягар”)</w:t>
      </w:r>
    </w:p>
    <w:p w14:paraId="4B3C34B0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Стаття 1 Протоколу 1 в аспекті оподаткування</w:t>
      </w:r>
    </w:p>
    <w:p w14:paraId="5FBE2950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Позитивні зобовязання держав за ст. 1 Першого протоколу</w:t>
      </w:r>
    </w:p>
    <w:p w14:paraId="1D43D90D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Горизонтальний ефект та взаємовідносини між приватними особами</w:t>
      </w:r>
    </w:p>
    <w:p w14:paraId="4EEA8C48" w14:textId="48BE6C38" w:rsidR="000E7995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Взаємозв’язок між ст. 1 Першого проток</w:t>
      </w:r>
      <w:r w:rsidR="00023910">
        <w:rPr>
          <w:rFonts w:asciiTheme="minorHAnsi" w:hAnsiTheme="minorHAnsi" w:cstheme="minorHAnsi"/>
          <w:sz w:val="22"/>
          <w:szCs w:val="22"/>
          <w:lang w:val="uk-UA"/>
        </w:rPr>
        <w:t>олу й іншими статтями Конвенції</w:t>
      </w:r>
    </w:p>
    <w:p w14:paraId="4C4A819A" w14:textId="77777777" w:rsidR="00023910" w:rsidRPr="00F20DC3" w:rsidRDefault="00023910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</w:p>
    <w:p w14:paraId="2B8DC2A1" w14:textId="77777777" w:rsidR="00EC5EA8" w:rsidRPr="00EC5EA8" w:rsidRDefault="00EC5EA8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20A4CDF5" w14:textId="77777777" w:rsidR="000E7995" w:rsidRDefault="00EC5EA8" w:rsidP="000E7995">
      <w:pPr>
        <w:pStyle w:val="a0"/>
        <w:ind w:left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0D954675" w14:textId="77777777" w:rsidR="000E7995" w:rsidRPr="000E7995" w:rsidRDefault="00EC5EA8" w:rsidP="000E7995">
      <w:pPr>
        <w:pStyle w:val="a0"/>
        <w:numPr>
          <w:ilvl w:val="0"/>
          <w:numId w:val="54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hAnsiTheme="minorHAnsi" w:cstheme="minorHAnsi"/>
          <w:sz w:val="22"/>
          <w:szCs w:val="22"/>
          <w:lang w:val="ru-RU"/>
        </w:rPr>
        <w:t>Інтерсплав проти України</w:t>
      </w:r>
    </w:p>
    <w:p w14:paraId="6899B4E2" w14:textId="027996A7" w:rsidR="00EC5EA8" w:rsidRPr="000E7995" w:rsidRDefault="00EC5EA8" w:rsidP="000E7995">
      <w:pPr>
        <w:pStyle w:val="a0"/>
        <w:numPr>
          <w:ilvl w:val="0"/>
          <w:numId w:val="54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hAnsiTheme="minorHAnsi" w:cstheme="minorHAnsi"/>
          <w:sz w:val="22"/>
          <w:szCs w:val="22"/>
          <w:lang w:val="ru-RU"/>
        </w:rPr>
        <w:t>Булвес А.Г. проти Болгарії.</w:t>
      </w:r>
    </w:p>
    <w:p w14:paraId="54FA90B1" w14:textId="77777777" w:rsidR="00EC5EA8" w:rsidRPr="00EC5EA8" w:rsidRDefault="00EC5EA8" w:rsidP="0038420A">
      <w:pPr>
        <w:spacing w:line="240" w:lineRule="auto"/>
        <w:contextualSpacing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ru-RU"/>
        </w:rPr>
      </w:pPr>
    </w:p>
    <w:p w14:paraId="5CF05F85" w14:textId="29B9668D" w:rsidR="001F67C9" w:rsidRDefault="0038420A" w:rsidP="0038420A">
      <w:pPr>
        <w:pStyle w:val="a0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Практичне заняття 12</w:t>
      </w:r>
      <w:r w:rsidRPr="00F66D1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8703D78" w14:textId="466FA5DE" w:rsidR="001F67C9" w:rsidRDefault="001F67C9" w:rsidP="001F67C9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Тема 11</w:t>
      </w:r>
      <w:r w:rsidRPr="001F67C9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1F67C9">
        <w:rPr>
          <w:rFonts w:asciiTheme="minorHAnsi" w:hAnsiTheme="minorHAnsi" w:cstheme="minorHAnsi"/>
          <w:b/>
          <w:sz w:val="22"/>
          <w:szCs w:val="22"/>
          <w:lang w:val="ru-RU"/>
        </w:rPr>
        <w:t>Заборона дискримінації в практиці ЄСПЛ.</w:t>
      </w:r>
    </w:p>
    <w:p w14:paraId="443B194E" w14:textId="77777777" w:rsidR="000E7995" w:rsidRPr="001F67C9" w:rsidRDefault="000E7995" w:rsidP="001F67C9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E126507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статті 14 Конвенції та ст. 1 Протоколу №12 до Конвенції</w:t>
      </w:r>
    </w:p>
    <w:p w14:paraId="12BA8853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Особливості застосування ст. 14 Конвенції</w:t>
      </w:r>
    </w:p>
    <w:p w14:paraId="190C9645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Поняття дискримінації</w:t>
      </w:r>
    </w:p>
    <w:p w14:paraId="12ED9ECD" w14:textId="77777777" w:rsidR="000E7995" w:rsidRPr="00F20DC3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F20DC3">
        <w:rPr>
          <w:rFonts w:asciiTheme="minorHAnsi" w:hAnsiTheme="minorHAnsi" w:cstheme="minorHAnsi"/>
          <w:sz w:val="22"/>
          <w:szCs w:val="22"/>
          <w:lang w:val="uk-UA"/>
        </w:rPr>
        <w:t>Покроковий підхід у визначені дискримінації</w:t>
      </w:r>
    </w:p>
    <w:p w14:paraId="20516E18" w14:textId="615AC1F1" w:rsidR="00EC5EA8" w:rsidRDefault="000E7995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</w:rPr>
      </w:pPr>
      <w:r w:rsidRPr="00F20DC3">
        <w:rPr>
          <w:rFonts w:asciiTheme="minorHAnsi" w:hAnsiTheme="minorHAnsi" w:cstheme="minorHAnsi"/>
          <w:sz w:val="22"/>
          <w:szCs w:val="22"/>
        </w:rPr>
        <w:t>Приводи (</w:t>
      </w:r>
      <w:proofErr w:type="gramStart"/>
      <w:r w:rsidRPr="00F20DC3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F20DC3">
        <w:rPr>
          <w:rFonts w:asciiTheme="minorHAnsi" w:hAnsiTheme="minorHAnsi" w:cstheme="minorHAnsi"/>
          <w:sz w:val="22"/>
          <w:szCs w:val="22"/>
        </w:rPr>
        <w:t>ідстави) дискримінації</w:t>
      </w:r>
    </w:p>
    <w:p w14:paraId="71CF21F3" w14:textId="77777777" w:rsidR="00023910" w:rsidRPr="000E7995" w:rsidRDefault="00023910" w:rsidP="000E7995">
      <w:pPr>
        <w:pStyle w:val="HTML"/>
        <w:shd w:val="clear" w:color="auto" w:fill="FFFFFF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</w:p>
    <w:p w14:paraId="1E119867" w14:textId="77777777" w:rsidR="00EC5EA8" w:rsidRPr="00EC5EA8" w:rsidRDefault="00EC5EA8" w:rsidP="000E799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b/>
          <w:sz w:val="22"/>
          <w:szCs w:val="22"/>
          <w:lang w:val="ru-RU"/>
        </w:rPr>
        <w:t>Завдання на самостійну роботу:</w:t>
      </w:r>
    </w:p>
    <w:p w14:paraId="2410735C" w14:textId="77777777" w:rsidR="00EC5EA8" w:rsidRPr="00EC5EA8" w:rsidRDefault="00EC5EA8" w:rsidP="000E7995">
      <w:pPr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EC5EA8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Ознайомитися для подальшого обговорення із </w:t>
      </w:r>
      <w:proofErr w:type="gramStart"/>
      <w:r w:rsidRPr="00EC5EA8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р</w:t>
      </w:r>
      <w:proofErr w:type="gramEnd"/>
      <w:r w:rsidRPr="00EC5EA8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ішеннями ЄСПЛ у справах:</w:t>
      </w:r>
    </w:p>
    <w:p w14:paraId="5E282DBD" w14:textId="77777777" w:rsidR="000E7995" w:rsidRDefault="00EC5EA8" w:rsidP="000E7995">
      <w:pPr>
        <w:pStyle w:val="a0"/>
        <w:numPr>
          <w:ilvl w:val="0"/>
          <w:numId w:val="55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BA0AFC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Napotnik v. Romania</w:t>
      </w:r>
    </w:p>
    <w:p w14:paraId="287008FA" w14:textId="6F5D0225" w:rsidR="00EC5EA8" w:rsidRPr="000E7995" w:rsidRDefault="00EC5EA8" w:rsidP="000E7995">
      <w:pPr>
        <w:pStyle w:val="a0"/>
        <w:numPr>
          <w:ilvl w:val="0"/>
          <w:numId w:val="55"/>
        </w:numPr>
        <w:ind w:left="0" w:firstLine="0"/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</w:pPr>
      <w:r w:rsidRPr="000E799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Маркс проти Бельгії.</w:t>
      </w:r>
    </w:p>
    <w:p w14:paraId="1E19BD2A" w14:textId="618354A1" w:rsidR="008175C6" w:rsidRPr="00F66D1F" w:rsidRDefault="008175C6" w:rsidP="00F66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7EAADA" w14:textId="03C64F19" w:rsidR="00F66D1F" w:rsidRDefault="004A6336" w:rsidP="00F66D1F">
      <w:pPr>
        <w:pStyle w:val="1"/>
        <w:spacing w:before="0" w:after="0" w:line="240" w:lineRule="auto"/>
        <w:rPr>
          <w:rFonts w:cstheme="minorHAnsi"/>
          <w:sz w:val="22"/>
          <w:szCs w:val="22"/>
        </w:rPr>
      </w:pPr>
      <w:r w:rsidRPr="00F66D1F">
        <w:rPr>
          <w:rFonts w:cstheme="minorHAnsi"/>
          <w:sz w:val="22"/>
          <w:szCs w:val="22"/>
        </w:rPr>
        <w:t>Самостійна робота студента</w:t>
      </w:r>
    </w:p>
    <w:p w14:paraId="69D52F39" w14:textId="77777777" w:rsidR="00FF457A" w:rsidRPr="00FF457A" w:rsidRDefault="00FF457A" w:rsidP="00FF457A">
      <w:pPr>
        <w:spacing w:line="240" w:lineRule="auto"/>
      </w:pPr>
    </w:p>
    <w:p w14:paraId="06ADDDE0" w14:textId="77777777" w:rsidR="00BF04A4" w:rsidRPr="00F66D1F" w:rsidRDefault="00BF04A4" w:rsidP="00FF457A">
      <w:pPr>
        <w:spacing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>В</w:t>
      </w:r>
      <w:r w:rsidR="004A6336" w:rsidRPr="00F66D1F">
        <w:rPr>
          <w:rFonts w:asciiTheme="minorHAnsi" w:hAnsiTheme="minorHAnsi" w:cstheme="minorHAnsi"/>
          <w:b/>
          <w:i/>
          <w:sz w:val="22"/>
          <w:szCs w:val="22"/>
        </w:rPr>
        <w:t>иди самостійної роботи</w:t>
      </w:r>
      <w:r w:rsidRPr="00F66D1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5BA60BDF" w14:textId="63D2BA8E" w:rsidR="00BF04A4" w:rsidRPr="00F66D1F" w:rsidRDefault="00BF04A4" w:rsidP="00155301">
      <w:pPr>
        <w:pStyle w:val="a0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Підготовка до аудиторних занять</w:t>
      </w:r>
      <w:r w:rsidR="008175C6" w:rsidRPr="00F66D1F">
        <w:rPr>
          <w:rFonts w:asciiTheme="minorHAnsi" w:hAnsiTheme="minorHAnsi" w:cstheme="minorHAnsi"/>
          <w:sz w:val="22"/>
          <w:szCs w:val="22"/>
        </w:rPr>
        <w:t xml:space="preserve"> за вказаними питаннями</w:t>
      </w:r>
      <w:r w:rsidR="009D6EA8">
        <w:rPr>
          <w:rFonts w:asciiTheme="minorHAnsi" w:hAnsiTheme="minorHAnsi" w:cstheme="minorHAnsi"/>
          <w:sz w:val="22"/>
          <w:szCs w:val="22"/>
        </w:rPr>
        <w:t xml:space="preserve"> та завданнями</w:t>
      </w:r>
      <w:r w:rsidR="008175C6" w:rsidRPr="00F66D1F">
        <w:rPr>
          <w:rFonts w:asciiTheme="minorHAnsi" w:hAnsiTheme="minorHAnsi" w:cstheme="minorHAnsi"/>
          <w:sz w:val="22"/>
          <w:szCs w:val="22"/>
        </w:rPr>
        <w:t xml:space="preserve"> для самостійного опрацювання</w:t>
      </w:r>
      <w:r w:rsidRPr="00F66D1F">
        <w:rPr>
          <w:rFonts w:asciiTheme="minorHAnsi" w:hAnsiTheme="minorHAnsi" w:cstheme="minorHAnsi"/>
          <w:sz w:val="22"/>
          <w:szCs w:val="22"/>
        </w:rPr>
        <w:t>.</w:t>
      </w:r>
    </w:p>
    <w:p w14:paraId="548A0F8C" w14:textId="0FE4A66E" w:rsidR="00BF04A4" w:rsidRPr="00F66D1F" w:rsidRDefault="00BF04A4" w:rsidP="00155301">
      <w:pPr>
        <w:pStyle w:val="a0"/>
        <w:numPr>
          <w:ilvl w:val="0"/>
          <w:numId w:val="2"/>
        </w:numPr>
        <w:spacing w:line="24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Аналіз конкретних навчальних ситуацій (case study) – метод навчання, </w:t>
      </w:r>
      <w:r w:rsidR="00CE6146" w:rsidRPr="00F66D1F">
        <w:rPr>
          <w:rFonts w:asciiTheme="minorHAnsi" w:hAnsiTheme="minorHAnsi" w:cstheme="minorHAnsi"/>
          <w:b/>
          <w:sz w:val="22"/>
          <w:szCs w:val="22"/>
        </w:rPr>
        <w:t xml:space="preserve">призначений для </w:t>
      </w:r>
      <w:r w:rsidRPr="00F66D1F">
        <w:rPr>
          <w:rFonts w:asciiTheme="minorHAnsi" w:hAnsiTheme="minorHAnsi" w:cstheme="minorHAnsi"/>
          <w:b/>
          <w:sz w:val="22"/>
          <w:szCs w:val="22"/>
        </w:rPr>
        <w:t xml:space="preserve">вдосконалення навичок і отримання досвіду в наступних областях: </w:t>
      </w:r>
    </w:p>
    <w:p w14:paraId="4BAA5DC2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виявлення, відбір і вирішення проблем; </w:t>
      </w:r>
    </w:p>
    <w:p w14:paraId="61DBAA14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робота з інформацією - осмислення значення деталей, описаних в ситуації; </w:t>
      </w:r>
    </w:p>
    <w:p w14:paraId="4318A080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аналіз і синтез інформації і аргументів ; </w:t>
      </w:r>
    </w:p>
    <w:p w14:paraId="22D2232C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робота з припущеннями і висновками; </w:t>
      </w:r>
    </w:p>
    <w:p w14:paraId="729C0C33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оцінка альтернатив; </w:t>
      </w:r>
    </w:p>
    <w:p w14:paraId="678CE9B9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ухвалення рішень;</w:t>
      </w:r>
    </w:p>
    <w:p w14:paraId="23EF5F4F" w14:textId="77777777" w:rsidR="008175C6" w:rsidRPr="00F66D1F" w:rsidRDefault="008175C6" w:rsidP="00155301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слухання і розуміння інших людей - навики групової роботи. </w:t>
      </w:r>
    </w:p>
    <w:p w14:paraId="31283244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>Кейс повинен:</w:t>
      </w:r>
    </w:p>
    <w:p w14:paraId="6E1D2900" w14:textId="77777777" w:rsidR="008175C6" w:rsidRPr="00F66D1F" w:rsidRDefault="008175C6" w:rsidP="00155301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бути написаний простою і дохідливою мовою;</w:t>
      </w:r>
    </w:p>
    <w:p w14:paraId="6FBADE15" w14:textId="77777777" w:rsidR="008175C6" w:rsidRPr="00F66D1F" w:rsidRDefault="008175C6" w:rsidP="00155301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повністю відображати сутність проблематики; </w:t>
      </w:r>
    </w:p>
    <w:p w14:paraId="6EE6B9D9" w14:textId="77777777" w:rsidR="008175C6" w:rsidRPr="00F66D1F" w:rsidRDefault="008175C6" w:rsidP="00155301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показувати як позитивні приклади, так і негативні; </w:t>
      </w:r>
    </w:p>
    <w:p w14:paraId="24749B2A" w14:textId="77777777" w:rsidR="008175C6" w:rsidRPr="00F66D1F" w:rsidRDefault="008175C6" w:rsidP="00155301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містити власне бачення студента вирішення поставленої задачі;</w:t>
      </w:r>
    </w:p>
    <w:p w14:paraId="2871724D" w14:textId="77777777" w:rsidR="008175C6" w:rsidRPr="00F66D1F" w:rsidRDefault="008175C6" w:rsidP="00155301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бути обґрунтованим  практикою ЄСПЛ. </w:t>
      </w:r>
    </w:p>
    <w:p w14:paraId="233AB7DC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Обсяг «кейсу» становить 2-5 сторінок.</w:t>
      </w:r>
    </w:p>
    <w:p w14:paraId="1EAC3C21" w14:textId="77777777" w:rsidR="008175C6" w:rsidRPr="00F66D1F" w:rsidRDefault="008175C6" w:rsidP="00F66D1F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F66D1F">
        <w:rPr>
          <w:rFonts w:asciiTheme="minorHAnsi" w:hAnsiTheme="minorHAnsi" w:cstheme="minorHAnsi"/>
          <w:b/>
          <w:i/>
          <w:sz w:val="22"/>
          <w:szCs w:val="22"/>
        </w:rPr>
        <w:t>Рішення кейсів рекомендується проводити в 5 етапів:</w:t>
      </w:r>
    </w:p>
    <w:p w14:paraId="508B8339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Перший етап - знайомство з ситуацією, її особливостями. </w:t>
      </w:r>
    </w:p>
    <w:p w14:paraId="1335F541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180E8666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lastRenderedPageBreak/>
        <w:t xml:space="preserve">Третій етап - пропозиція концепцій або тим для «мозкового штурму». </w:t>
      </w:r>
    </w:p>
    <w:p w14:paraId="0046AAFC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Четвертий етап - аналіз наслідків прийняття того чи іншого рішення. </w:t>
      </w:r>
    </w:p>
    <w:p w14:paraId="321A344E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z w:val="22"/>
          <w:szCs w:val="22"/>
        </w:rPr>
        <w:t xml:space="preserve"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 </w:t>
      </w:r>
    </w:p>
    <w:p w14:paraId="5BA8B15B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F66D1F">
        <w:rPr>
          <w:rFonts w:asciiTheme="minorHAnsi" w:hAnsiTheme="minorHAnsi" w:cstheme="minorHAnsi"/>
          <w:b/>
          <w:spacing w:val="4"/>
          <w:sz w:val="22"/>
          <w:szCs w:val="22"/>
        </w:rPr>
        <w:t>Індивідуальне завдання</w:t>
      </w:r>
    </w:p>
    <w:p w14:paraId="71A8D762" w14:textId="77777777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F66D1F">
        <w:rPr>
          <w:rFonts w:asciiTheme="minorHAnsi" w:hAnsiTheme="minorHAnsi" w:cstheme="minorHAnsi"/>
          <w:spacing w:val="4"/>
          <w:sz w:val="22"/>
          <w:szCs w:val="22"/>
        </w:rPr>
        <w:t xml:space="preserve">Передбачається модульна контрольна робота у вигляді заповнення формуляру (заяви) до ЄСПЛ. </w:t>
      </w:r>
    </w:p>
    <w:p w14:paraId="755BB6F2" w14:textId="4FE1FED8" w:rsidR="008175C6" w:rsidRPr="00F66D1F" w:rsidRDefault="008175C6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spacing w:val="4"/>
          <w:sz w:val="22"/>
          <w:szCs w:val="22"/>
        </w:rPr>
        <w:t>При цьому, необхідно дотримуватись вимог прийнят</w:t>
      </w:r>
      <w:r w:rsidR="00D41DCE">
        <w:rPr>
          <w:rFonts w:asciiTheme="minorHAnsi" w:hAnsiTheme="minorHAnsi" w:cstheme="minorHAnsi"/>
          <w:spacing w:val="4"/>
          <w:sz w:val="22"/>
          <w:szCs w:val="22"/>
        </w:rPr>
        <w:t>н</w:t>
      </w:r>
      <w:r w:rsidRPr="00F66D1F">
        <w:rPr>
          <w:rFonts w:asciiTheme="minorHAnsi" w:hAnsiTheme="minorHAnsi" w:cstheme="minorHAnsi"/>
          <w:spacing w:val="4"/>
          <w:sz w:val="22"/>
          <w:szCs w:val="22"/>
        </w:rPr>
        <w:t xml:space="preserve">ості заяви, для цього </w:t>
      </w:r>
      <w:r w:rsidRPr="00F66D1F">
        <w:rPr>
          <w:rFonts w:asciiTheme="minorHAnsi" w:hAnsiTheme="minorHAnsi" w:cstheme="minorHAnsi"/>
          <w:sz w:val="22"/>
          <w:szCs w:val="22"/>
        </w:rPr>
        <w:t>вона насамперед повинна містити всі відомості, які вимагаються у формулярі заяви. Наприклад, Ви повинні надати стислий виклад Вашої справи, заповнити розділ про стверджувані порушення Конвенції та поставити Ваш особистий підпис в кінці формуляру. Ви також маєте долучити всі необхідні документи, як-от</w:t>
      </w:r>
      <w:r w:rsidR="00860C47">
        <w:rPr>
          <w:rFonts w:asciiTheme="minorHAnsi" w:hAnsiTheme="minorHAnsi" w:cstheme="minorHAnsi"/>
          <w:sz w:val="22"/>
          <w:szCs w:val="22"/>
        </w:rPr>
        <w:t xml:space="preserve"> копії рішень</w:t>
      </w:r>
      <w:r w:rsidRPr="00F66D1F">
        <w:rPr>
          <w:rFonts w:asciiTheme="minorHAnsi" w:hAnsiTheme="minorHAnsi" w:cstheme="minorHAnsi"/>
          <w:sz w:val="22"/>
          <w:szCs w:val="22"/>
        </w:rPr>
        <w:t xml:space="preserve"> національних судових інстанцій.</w:t>
      </w: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1BC6AA00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255DB1DE" w14:textId="22D10D19" w:rsidR="001F542A" w:rsidRPr="00F66D1F" w:rsidRDefault="001F542A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Відвідування лекцій та семінарських</w:t>
      </w:r>
      <w:r w:rsidRPr="00F66D1F">
        <w:rPr>
          <w:rFonts w:asciiTheme="minorHAnsi" w:hAnsiTheme="minorHAnsi" w:cstheme="minorHAnsi"/>
          <w:sz w:val="22"/>
          <w:szCs w:val="22"/>
        </w:rPr>
        <w:t xml:space="preserve"> занять є обов’язковим.</w:t>
      </w:r>
    </w:p>
    <w:p w14:paraId="48F030A7" w14:textId="524359BF" w:rsidR="001F542A" w:rsidRDefault="001F542A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476">
        <w:rPr>
          <w:rFonts w:asciiTheme="minorHAnsi" w:hAnsiTheme="minorHAnsi" w:cstheme="minorHAnsi"/>
          <w:sz w:val="22"/>
          <w:szCs w:val="22"/>
        </w:rPr>
        <w:t>Правила поведінки на заняттях:</w:t>
      </w:r>
      <w:r w:rsidRPr="00F66D1F">
        <w:rPr>
          <w:rFonts w:asciiTheme="minorHAnsi" w:hAnsiTheme="minorHAnsi" w:cstheme="minorHAnsi"/>
          <w:sz w:val="22"/>
          <w:szCs w:val="22"/>
        </w:rPr>
        <w:t xml:space="preserve"> активність, високий р</w:t>
      </w:r>
      <w:r w:rsidR="003F0D63">
        <w:rPr>
          <w:rFonts w:asciiTheme="minorHAnsi" w:hAnsiTheme="minorHAnsi" w:cstheme="minorHAnsi"/>
          <w:sz w:val="22"/>
          <w:szCs w:val="22"/>
        </w:rPr>
        <w:t xml:space="preserve">івень підготовки та дисципліна. </w:t>
      </w:r>
    </w:p>
    <w:p w14:paraId="53C6905F" w14:textId="7FF94F59" w:rsidR="002C68E8" w:rsidRPr="00FA6FF3" w:rsidRDefault="002C68E8" w:rsidP="002C68E8">
      <w:pPr>
        <w:pStyle w:val="3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8E8">
        <w:rPr>
          <w:rFonts w:asciiTheme="minorHAnsi" w:hAnsiTheme="minorHAnsi" w:cstheme="minorHAnsi"/>
          <w:b/>
          <w:sz w:val="22"/>
          <w:szCs w:val="22"/>
        </w:rPr>
        <w:t>Лекції</w:t>
      </w:r>
      <w:r w:rsidRPr="00FA6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надаються у формі презентацій, </w:t>
      </w:r>
      <w:r w:rsidRPr="00FA6FF3">
        <w:rPr>
          <w:rFonts w:asciiTheme="minorHAnsi" w:hAnsiTheme="minorHAnsi" w:cstheme="minorHAnsi"/>
          <w:sz w:val="22"/>
          <w:szCs w:val="22"/>
        </w:rPr>
        <w:t xml:space="preserve">можуть проводитись із застосуванням методу професійної дискусії. У такому випадку студентам можуть завчасно надаватися матеріали для попереднього опрацювання для подальшого обговорення (професійної дискусії) під час лекції. Готуючись до лекції, студент повинен опрацювати попередньо надані матеріали. </w:t>
      </w:r>
    </w:p>
    <w:p w14:paraId="51B276B0" w14:textId="194FDEFD" w:rsidR="002C68E8" w:rsidRPr="00591A1A" w:rsidRDefault="00D01984" w:rsidP="00D01984">
      <w:pPr>
        <w:pStyle w:val="3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Практичні заняття проводяться у формі дискусій (опитувань). Студентам можуть бути надані завдання (практичні задачі) для опрацювання їх на практичному занятті. </w:t>
      </w:r>
      <w:r w:rsidR="002C68E8" w:rsidRPr="00D01984">
        <w:rPr>
          <w:rFonts w:asciiTheme="minorHAnsi" w:hAnsiTheme="minorHAnsi" w:cstheme="minorHAnsi"/>
          <w:sz w:val="22"/>
          <w:szCs w:val="22"/>
        </w:rPr>
        <w:t>Готуючись до практичного заняття студент має обов'язково опрацювати лекційний матеріал певної теми, підготуватись до питань, винесених на самостійне опрацювання. Бажано ознайомитись з додатковими ресурсами в мережі. При виникненні питань, виявленні незрозумілих положень необхідно обов'язково обговорити їх з викладачем</w:t>
      </w:r>
      <w:r w:rsidR="002C68E8" w:rsidRPr="00FA6FF3">
        <w:rPr>
          <w:rFonts w:asciiTheme="minorHAnsi" w:hAnsiTheme="minorHAnsi" w:cstheme="minorHAnsi"/>
          <w:sz w:val="22"/>
          <w:szCs w:val="22"/>
        </w:rPr>
        <w:t xml:space="preserve">. </w:t>
      </w:r>
      <w:r w:rsidR="002C68E8" w:rsidRPr="00D01984">
        <w:rPr>
          <w:rFonts w:asciiTheme="minorHAnsi" w:hAnsiTheme="minorHAnsi" w:cstheme="minorHAnsi"/>
          <w:b/>
          <w:sz w:val="22"/>
          <w:szCs w:val="22"/>
        </w:rPr>
        <w:t>Буде вимагатись активна участь студента на практичних заняттях.</w:t>
      </w:r>
      <w:r w:rsidR="002C68E8" w:rsidRPr="002053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60 % рейтингу студента – робота на практичному занятті.</w:t>
      </w:r>
    </w:p>
    <w:p w14:paraId="1D6BF569" w14:textId="4CF98397" w:rsidR="002C68E8" w:rsidRDefault="002C68E8" w:rsidP="002C68E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5CC0">
        <w:rPr>
          <w:rFonts w:asciiTheme="minorHAnsi" w:hAnsiTheme="minorHAnsi" w:cstheme="minorHAnsi"/>
          <w:sz w:val="22"/>
          <w:szCs w:val="22"/>
        </w:rPr>
        <w:t>На лекціях та практичних заняттях</w:t>
      </w:r>
      <w:r w:rsidRPr="00591A1A">
        <w:rPr>
          <w:rFonts w:asciiTheme="minorHAnsi" w:hAnsiTheme="minorHAnsi" w:cstheme="minorHAnsi"/>
          <w:sz w:val="22"/>
          <w:szCs w:val="22"/>
        </w:rPr>
        <w:t xml:space="preserve"> використ</w:t>
      </w:r>
      <w:r>
        <w:rPr>
          <w:rFonts w:asciiTheme="minorHAnsi" w:hAnsiTheme="minorHAnsi" w:cstheme="minorHAnsi"/>
          <w:sz w:val="22"/>
          <w:szCs w:val="22"/>
        </w:rPr>
        <w:t xml:space="preserve">ання ноутбуків, смартфонів дозволяється </w:t>
      </w:r>
      <w:r w:rsidRPr="00591A1A">
        <w:rPr>
          <w:rFonts w:asciiTheme="minorHAnsi" w:hAnsiTheme="minorHAnsi" w:cstheme="minorHAnsi"/>
          <w:sz w:val="22"/>
          <w:szCs w:val="22"/>
        </w:rPr>
        <w:t xml:space="preserve">лише для </w:t>
      </w:r>
      <w:r>
        <w:rPr>
          <w:rFonts w:asciiTheme="minorHAnsi" w:hAnsiTheme="minorHAnsi" w:cstheme="minorHAnsi"/>
          <w:sz w:val="22"/>
          <w:szCs w:val="22"/>
        </w:rPr>
        <w:t>опрацювання нормативно-правових актів.</w:t>
      </w:r>
    </w:p>
    <w:p w14:paraId="1DDCAA4E" w14:textId="30676944" w:rsidR="009D6EA8" w:rsidRDefault="009D6EA8" w:rsidP="009D6E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Перездати пропущене семінарське заняття</w:t>
      </w:r>
      <w:r w:rsidRPr="00F66D1F">
        <w:rPr>
          <w:rFonts w:asciiTheme="minorHAnsi" w:hAnsiTheme="minorHAnsi" w:cstheme="minorHAnsi"/>
          <w:sz w:val="22"/>
          <w:szCs w:val="22"/>
        </w:rPr>
        <w:t xml:space="preserve"> рекомендується максимум через пару, так як освоєння подальшого матеріалу пов’язане з розумінням попередніх тем. </w:t>
      </w:r>
    </w:p>
    <w:p w14:paraId="0A3E110D" w14:textId="13C63ECB" w:rsidR="00BE1476" w:rsidRPr="00F66D1F" w:rsidRDefault="00BE1476" w:rsidP="009D6E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Штрафні бали</w:t>
      </w:r>
      <w:r w:rsidRPr="00F66D1F">
        <w:rPr>
          <w:rFonts w:asciiTheme="minorHAnsi" w:hAnsiTheme="minorHAnsi" w:cstheme="minorHAnsi"/>
          <w:sz w:val="22"/>
          <w:szCs w:val="22"/>
        </w:rPr>
        <w:t xml:space="preserve"> передбачені за перездачу семінарського заняття (більше ніж через 2 тижня після пропущеного семінарського заняття). Штрафний бал: - 1 бал.</w:t>
      </w:r>
    </w:p>
    <w:p w14:paraId="357E2AC2" w14:textId="04BDADC5" w:rsidR="009D6EA8" w:rsidRDefault="009D6EA8" w:rsidP="009D6E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Перездати пропущений кейс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6D1F">
        <w:rPr>
          <w:rFonts w:asciiTheme="minorHAnsi" w:hAnsiTheme="minorHAnsi" w:cstheme="minorHAnsi"/>
          <w:sz w:val="22"/>
          <w:szCs w:val="22"/>
        </w:rPr>
        <w:t>рекомендується максимум через пару, так як освоєння подальшого матеріалу пов’</w:t>
      </w:r>
      <w:r>
        <w:rPr>
          <w:rFonts w:asciiTheme="minorHAnsi" w:hAnsiTheme="minorHAnsi" w:cstheme="minorHAnsi"/>
          <w:sz w:val="22"/>
          <w:szCs w:val="22"/>
        </w:rPr>
        <w:t>язане з розумінням попередніх кейсів.</w:t>
      </w:r>
      <w:r w:rsidRPr="00F66D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C01DF4" w14:textId="03F1CDA8" w:rsidR="00BE1476" w:rsidRDefault="00BE1476" w:rsidP="009D6EA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D1F">
        <w:rPr>
          <w:rFonts w:asciiTheme="minorHAnsi" w:hAnsiTheme="minorHAnsi" w:cstheme="minorHAnsi"/>
          <w:b/>
          <w:sz w:val="22"/>
          <w:szCs w:val="22"/>
        </w:rPr>
        <w:t>Штрафні бали</w:t>
      </w:r>
      <w:r w:rsidRPr="00F66D1F">
        <w:rPr>
          <w:rFonts w:asciiTheme="minorHAnsi" w:hAnsiTheme="minorHAnsi" w:cstheme="minorHAnsi"/>
          <w:sz w:val="22"/>
          <w:szCs w:val="22"/>
        </w:rPr>
        <w:t xml:space="preserve"> передбачені за здачу кейсового завдання пізніше встановленог</w:t>
      </w:r>
      <w:r w:rsidR="00CF30AA">
        <w:rPr>
          <w:rFonts w:asciiTheme="minorHAnsi" w:hAnsiTheme="minorHAnsi" w:cstheme="minorHAnsi"/>
          <w:sz w:val="22"/>
          <w:szCs w:val="22"/>
        </w:rPr>
        <w:t>о строку. Штрафний бал: -1 бал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3A124C" w14:textId="0F327254" w:rsidR="009D6EA8" w:rsidRPr="002C68E8" w:rsidRDefault="009D6EA8" w:rsidP="002C68E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 разі здачі двох ідентичних кейсів, такі роботи повертатимуться на доопрацювання або ж студенти отримують низький бал за виконані завдання.</w:t>
      </w:r>
    </w:p>
    <w:p w14:paraId="6448BF93" w14:textId="77777777" w:rsidR="002C68E8" w:rsidRPr="00591A1A" w:rsidRDefault="002C68E8" w:rsidP="002C68E8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A1A">
        <w:rPr>
          <w:rFonts w:asciiTheme="minorHAnsi" w:hAnsiTheme="minorHAnsi" w:cstheme="minorHAnsi"/>
          <w:b/>
          <w:sz w:val="22"/>
          <w:szCs w:val="22"/>
        </w:rPr>
        <w:t xml:space="preserve">Дистанційне навчання </w:t>
      </w:r>
    </w:p>
    <w:p w14:paraId="55EA48F6" w14:textId="77777777" w:rsidR="002C68E8" w:rsidRPr="00FA6FF3" w:rsidRDefault="002C68E8" w:rsidP="002C68E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FF3">
        <w:rPr>
          <w:rFonts w:asciiTheme="minorHAnsi" w:hAnsiTheme="minorHAnsi" w:cstheme="minorHAnsi"/>
          <w:sz w:val="22"/>
          <w:szCs w:val="22"/>
        </w:rPr>
        <w:t>Можливе синхронне дистанційне навчання з використанням платформ для відео-конференцій та освітньої платформи для дистанційного навчання в університеті.</w:t>
      </w:r>
    </w:p>
    <w:p w14:paraId="17FDE80D" w14:textId="33D571B1" w:rsidR="002C68E8" w:rsidRPr="00FA6FF3" w:rsidRDefault="002C68E8" w:rsidP="002C68E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FF3">
        <w:rPr>
          <w:rFonts w:asciiTheme="minorHAnsi" w:hAnsiTheme="minorHAnsi" w:cstheme="minorHAnsi"/>
          <w:sz w:val="22"/>
          <w:szCs w:val="22"/>
        </w:rPr>
        <w:t xml:space="preserve">Лекції та усні семінарські заняття будуть проводитись за допомогою загальноприйнятих технічних засобів (у т.ч. технологій </w:t>
      </w:r>
      <w:r w:rsidRPr="00FA6FF3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Pr="00FA6FF3">
        <w:rPr>
          <w:rFonts w:asciiTheme="minorHAnsi" w:hAnsiTheme="minorHAnsi" w:cstheme="minorHAnsi"/>
          <w:sz w:val="22"/>
          <w:szCs w:val="22"/>
        </w:rPr>
        <w:t xml:space="preserve"> або </w:t>
      </w:r>
      <w:r w:rsidRPr="00FA6FF3"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Pr="00FA6FF3">
        <w:rPr>
          <w:rFonts w:asciiTheme="minorHAnsi" w:hAnsiTheme="minorHAnsi" w:cstheme="minorHAnsi"/>
          <w:sz w:val="22"/>
          <w:szCs w:val="22"/>
        </w:rPr>
        <w:t xml:space="preserve"> </w:t>
      </w:r>
      <w:r w:rsidRPr="00FA6FF3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Pr="00FA6FF3">
        <w:rPr>
          <w:rFonts w:asciiTheme="minorHAnsi" w:hAnsiTheme="minorHAnsi" w:cstheme="minorHAnsi"/>
          <w:sz w:val="22"/>
          <w:szCs w:val="22"/>
        </w:rPr>
        <w:t>). Відповідні посилання будуть надіслані на пошту групи.</w:t>
      </w:r>
    </w:p>
    <w:p w14:paraId="73F53C51" w14:textId="53EBE6D3" w:rsidR="002C68E8" w:rsidRPr="00F66D1F" w:rsidRDefault="002C68E8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6FF3">
        <w:rPr>
          <w:rFonts w:asciiTheme="minorHAnsi" w:hAnsiTheme="minorHAnsi" w:cstheme="minorHAnsi"/>
          <w:sz w:val="22"/>
          <w:szCs w:val="22"/>
        </w:rPr>
        <w:t xml:space="preserve">Письмові завдання, кейси та модульна контрольна робота будуть виконуватись письмово, в т.ч. на платформах Сікорський, </w:t>
      </w:r>
      <w:r w:rsidRPr="00FA6FF3">
        <w:rPr>
          <w:rFonts w:asciiTheme="minorHAnsi" w:hAnsiTheme="minorHAnsi" w:cstheme="minorHAnsi"/>
          <w:sz w:val="22"/>
          <w:szCs w:val="22"/>
          <w:lang w:val="en-US"/>
        </w:rPr>
        <w:t>Classroom</w:t>
      </w:r>
      <w:r w:rsidRPr="00FA6FF3">
        <w:rPr>
          <w:rFonts w:asciiTheme="minorHAnsi" w:hAnsiTheme="minorHAnsi" w:cstheme="minorHAnsi"/>
          <w:sz w:val="22"/>
          <w:szCs w:val="22"/>
        </w:rPr>
        <w:t>, або через електронну пошту (залежно від форми заняття та змісту наданих завдань).</w:t>
      </w:r>
    </w:p>
    <w:p w14:paraId="1D1AA8F6" w14:textId="4CD0B7A8" w:rsidR="005111B5" w:rsidRPr="00F66D1F" w:rsidRDefault="005111B5" w:rsidP="00F66D1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55EA">
        <w:rPr>
          <w:rFonts w:asciiTheme="minorHAnsi" w:hAnsiTheme="minorHAnsi" w:cstheme="minorHAnsi"/>
          <w:b/>
          <w:sz w:val="22"/>
          <w:szCs w:val="22"/>
        </w:rPr>
        <w:t>Політика та принципи академічної доброчесності</w:t>
      </w:r>
      <w:r w:rsidRPr="003555EA">
        <w:rPr>
          <w:rFonts w:asciiTheme="minorHAnsi" w:hAnsiTheme="minorHAnsi" w:cstheme="minorHAnsi"/>
          <w:sz w:val="22"/>
          <w:szCs w:val="22"/>
        </w:rPr>
        <w:t xml:space="preserve">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1F94018" w14:textId="02D71869" w:rsidR="008B4DE6" w:rsidRPr="00D00E22" w:rsidRDefault="00B40317" w:rsidP="00D00E22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0E22">
        <w:rPr>
          <w:rFonts w:asciiTheme="minorHAnsi" w:hAnsiTheme="minorHAnsi" w:cstheme="minorHAnsi"/>
          <w:b/>
          <w:sz w:val="22"/>
          <w:szCs w:val="22"/>
        </w:rPr>
        <w:t>Календарний контроль</w:t>
      </w:r>
      <w:r w:rsidR="004A6336" w:rsidRPr="00D00E22">
        <w:rPr>
          <w:rFonts w:asciiTheme="minorHAnsi" w:hAnsiTheme="minorHAnsi" w:cstheme="minorHAnsi"/>
          <w:b/>
          <w:sz w:val="22"/>
          <w:szCs w:val="22"/>
        </w:rPr>
        <w:t>:</w:t>
      </w:r>
      <w:r w:rsidRPr="00D00E2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00E22">
        <w:rPr>
          <w:rFonts w:asciiTheme="minorHAnsi" w:hAnsiTheme="minorHAnsi" w:cstheme="minorHAnsi"/>
          <w:sz w:val="22"/>
          <w:szCs w:val="22"/>
        </w:rPr>
        <w:t>провадиться двічі на семестр як моніторинг поточного стану виконання вимог силабусу.</w:t>
      </w:r>
      <w:r w:rsidR="0030530B" w:rsidRPr="00D00E2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gramStart"/>
      <w:r w:rsidR="00760FD5">
        <w:rPr>
          <w:rFonts w:asciiTheme="minorHAnsi" w:hAnsiTheme="minorHAnsi" w:cstheme="minorHAnsi"/>
          <w:sz w:val="22"/>
          <w:szCs w:val="22"/>
          <w:lang w:val="ru-RU"/>
        </w:rPr>
        <w:t xml:space="preserve">Сума балів, яка необхідна для атестації буде вирахувана у відповідності до максимальної кількості балів, які студент міг набрати за час навчання (наприклад, якщо на даний момент у Вас була можливість набрати 30 балів, 1 атестація виставляється за умови набрання студентом 15 балів, якщо на </w:t>
      </w:r>
      <w:r w:rsidR="00760FD5">
        <w:rPr>
          <w:rFonts w:asciiTheme="minorHAnsi" w:hAnsiTheme="minorHAnsi" w:cstheme="minorHAnsi"/>
          <w:sz w:val="22"/>
          <w:szCs w:val="22"/>
          <w:lang w:val="ru-RU"/>
        </w:rPr>
        <w:lastRenderedPageBreak/>
        <w:t>момент виставлення 2 атестац</w:t>
      </w:r>
      <w:proofErr w:type="gramEnd"/>
      <w:r w:rsidR="00760FD5">
        <w:rPr>
          <w:rFonts w:asciiTheme="minorHAnsi" w:hAnsiTheme="minorHAnsi" w:cstheme="minorHAnsi"/>
          <w:sz w:val="22"/>
          <w:szCs w:val="22"/>
          <w:lang w:val="ru-RU"/>
        </w:rPr>
        <w:t>ії була можливість набрати 60 балів – атестація виставляєтьс</w:t>
      </w:r>
      <w:r w:rsidR="004F65A1">
        <w:rPr>
          <w:rFonts w:asciiTheme="minorHAnsi" w:hAnsiTheme="minorHAnsi" w:cstheme="minorHAnsi"/>
          <w:sz w:val="22"/>
          <w:szCs w:val="22"/>
          <w:lang w:val="ru-RU"/>
        </w:rPr>
        <w:t>я за умови набрання студентом 30</w:t>
      </w:r>
      <w:r w:rsidR="00760FD5">
        <w:rPr>
          <w:rFonts w:asciiTheme="minorHAnsi" w:hAnsiTheme="minorHAnsi" w:cstheme="minorHAnsi"/>
          <w:sz w:val="22"/>
          <w:szCs w:val="22"/>
          <w:lang w:val="ru-RU"/>
        </w:rPr>
        <w:t xml:space="preserve"> балів</w:t>
      </w:r>
      <w:r w:rsidR="004F65A1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760FD5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1F55DFA1" w14:textId="206BA53C" w:rsidR="003555EA" w:rsidRDefault="000D1F73" w:rsidP="00D00E22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00E22">
        <w:rPr>
          <w:rFonts w:asciiTheme="minorHAnsi" w:hAnsiTheme="minorHAnsi" w:cstheme="minorHAnsi"/>
          <w:b/>
          <w:sz w:val="22"/>
          <w:szCs w:val="22"/>
        </w:rPr>
        <w:t>Семестровий контроль:</w:t>
      </w:r>
      <w:r w:rsidRPr="00D00E22">
        <w:rPr>
          <w:rFonts w:asciiTheme="minorHAnsi" w:hAnsiTheme="minorHAnsi" w:cstheme="minorHAnsi"/>
          <w:sz w:val="22"/>
          <w:szCs w:val="22"/>
        </w:rPr>
        <w:t xml:space="preserve"> </w:t>
      </w:r>
      <w:r w:rsidR="0054477B" w:rsidRPr="00D00E22">
        <w:rPr>
          <w:rFonts w:asciiTheme="minorHAnsi" w:hAnsiTheme="minorHAnsi" w:cstheme="minorHAnsi"/>
          <w:sz w:val="22"/>
          <w:szCs w:val="22"/>
        </w:rPr>
        <w:t>залік.</w:t>
      </w:r>
    </w:p>
    <w:p w14:paraId="5CAEB2FB" w14:textId="500C8F22" w:rsidR="005111B5" w:rsidRPr="005111B5" w:rsidRDefault="005111B5" w:rsidP="005111B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A1A">
        <w:rPr>
          <w:rFonts w:asciiTheme="minorHAnsi" w:hAnsiTheme="minorHAnsi" w:cstheme="minorHAnsi"/>
          <w:b/>
          <w:sz w:val="22"/>
          <w:szCs w:val="22"/>
        </w:rPr>
        <w:t>Оцінювання та контрольні заходи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201B0D8" w14:textId="4A4ECD08" w:rsidR="005111B5" w:rsidRDefault="005111B5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B1F07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Рейтинг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студента з дисципліни складається з балів, що отримую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ться за: відповіді</w:t>
      </w:r>
      <w:r w:rsidR="0013326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та 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>доповнення відповідей інших студентів у процесі ди</w:t>
      </w:r>
      <w:r w:rsidR="00133262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скусії на семінарських заняттях, вирішення кейсів,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а також за написання </w:t>
      </w:r>
      <w:r w:rsidR="006C0462">
        <w:rPr>
          <w:rFonts w:asciiTheme="minorHAnsi" w:hAnsiTheme="minorHAnsi" w:cstheme="minorHAnsi"/>
          <w:spacing w:val="4"/>
          <w:sz w:val="22"/>
          <w:szCs w:val="22"/>
        </w:rPr>
        <w:t>модульної контрольної роботи</w:t>
      </w:r>
      <w:r w:rsidR="006C0462" w:rsidRPr="00F66D1F">
        <w:rPr>
          <w:rFonts w:asciiTheme="minorHAnsi" w:hAnsiTheme="minorHAnsi" w:cstheme="minorHAnsi"/>
          <w:spacing w:val="4"/>
          <w:sz w:val="22"/>
          <w:szCs w:val="22"/>
        </w:rPr>
        <w:t xml:space="preserve"> у вигляді заповнення формуляру (заяви) до ЄСПЛ.</w:t>
      </w:r>
    </w:p>
    <w:p w14:paraId="592CD1A9" w14:textId="77777777" w:rsidR="008C427E" w:rsidRPr="00133262" w:rsidRDefault="008C427E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523D305E" w14:textId="77777777" w:rsidR="008E5CC0" w:rsidRPr="00133262" w:rsidRDefault="00DC04DC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133262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Кожне семінарське заняття оцінюється у 5 балів</w:t>
      </w:r>
      <w:r w:rsidR="008E5CC0" w:rsidRPr="00133262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, де:</w:t>
      </w:r>
    </w:p>
    <w:p w14:paraId="100E8571" w14:textId="0E9A5861" w:rsidR="008E5CC0" w:rsidRPr="00133262" w:rsidRDefault="008E5CC0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133262">
        <w:rPr>
          <w:rFonts w:asciiTheme="minorHAnsi" w:hAnsiTheme="minorHAnsi" w:cstheme="minorHAnsi"/>
          <w:sz w:val="22"/>
          <w:szCs w:val="22"/>
        </w:rPr>
        <w:t>5 балів – «відмінно» - студент демонструє міцні знання навчального матеріалу в заданому обсязі, дає певну обґрунтовану відповідь.</w:t>
      </w:r>
    </w:p>
    <w:p w14:paraId="18220C1B" w14:textId="77777777" w:rsidR="008E5CC0" w:rsidRPr="00133262" w:rsidRDefault="008E5CC0" w:rsidP="008C427E">
      <w:pPr>
        <w:pStyle w:val="1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33262">
        <w:rPr>
          <w:rFonts w:asciiTheme="minorHAnsi" w:hAnsiTheme="minorHAnsi" w:cstheme="minorHAnsi"/>
        </w:rPr>
        <w:t>4 бала – «добре» - студент допускає несуттєві неточності.</w:t>
      </w:r>
    </w:p>
    <w:p w14:paraId="6D37294B" w14:textId="77777777" w:rsidR="008E5CC0" w:rsidRPr="00133262" w:rsidRDefault="008E5CC0" w:rsidP="008C427E">
      <w:pPr>
        <w:pStyle w:val="1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33262">
        <w:rPr>
          <w:rFonts w:asciiTheme="minorHAnsi" w:hAnsiTheme="minorHAnsi" w:cstheme="minorHAnsi"/>
        </w:rPr>
        <w:t xml:space="preserve">1-3 бали – «задовільно» - студент засвоїв основний теоретичний </w:t>
      </w:r>
      <w:proofErr w:type="gramStart"/>
      <w:r w:rsidRPr="00133262">
        <w:rPr>
          <w:rFonts w:asciiTheme="minorHAnsi" w:hAnsiTheme="minorHAnsi" w:cstheme="minorHAnsi"/>
        </w:rPr>
        <w:t>матер</w:t>
      </w:r>
      <w:proofErr w:type="gramEnd"/>
      <w:r w:rsidRPr="00133262">
        <w:rPr>
          <w:rFonts w:asciiTheme="minorHAnsi" w:hAnsiTheme="minorHAnsi" w:cstheme="minorHAnsi"/>
        </w:rPr>
        <w:t>іал, але допускає суттєві неточності, не може належно відповісти на уточнюючі запитання.</w:t>
      </w:r>
    </w:p>
    <w:p w14:paraId="3FE310B4" w14:textId="459F6163" w:rsidR="008E5CC0" w:rsidRPr="00133262" w:rsidRDefault="008E5CC0" w:rsidP="008C427E">
      <w:pPr>
        <w:pStyle w:val="1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33262">
        <w:rPr>
          <w:rFonts w:asciiTheme="minorHAnsi" w:hAnsiTheme="minorHAnsi" w:cstheme="minorHAnsi"/>
        </w:rPr>
        <w:t>0 балів – «незадовільно» - студент дає відповідь не по суті; вкрай обмежена відповідь.</w:t>
      </w:r>
    </w:p>
    <w:p w14:paraId="0E67E9F6" w14:textId="27742C98" w:rsidR="001B6A6C" w:rsidRPr="00133262" w:rsidRDefault="001B6A6C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133262">
        <w:rPr>
          <w:rFonts w:asciiTheme="minorHAnsi" w:hAnsiTheme="minorHAnsi" w:cstheme="minorHAnsi"/>
          <w:color w:val="000000"/>
          <w:spacing w:val="2"/>
          <w:sz w:val="22"/>
          <w:szCs w:val="22"/>
        </w:rPr>
        <w:t>Викладач оцінює роботу студента на кожному практичному занятті, виставляючи бали за нього після практичного заняття у системі електронного Кампусу.</w:t>
      </w:r>
    </w:p>
    <w:p w14:paraId="2EDF81C9" w14:textId="77777777" w:rsidR="008C427E" w:rsidRPr="00133262" w:rsidRDefault="008C427E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532B0FF9" w14:textId="73879F02" w:rsidR="00DC04DC" w:rsidRPr="00133262" w:rsidRDefault="00DC04DC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133262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К</w:t>
      </w:r>
      <w:r w:rsidR="008E5CC0" w:rsidRPr="00133262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ожен кейс оцінюється у 5 балів, де:</w:t>
      </w:r>
    </w:p>
    <w:p w14:paraId="5CCD6A6B" w14:textId="70319FC4" w:rsidR="008E5CC0" w:rsidRPr="00133262" w:rsidRDefault="008E5CC0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3262">
        <w:rPr>
          <w:rFonts w:asciiTheme="minorHAnsi" w:hAnsiTheme="minorHAnsi" w:cstheme="minorHAnsi"/>
          <w:sz w:val="22"/>
          <w:szCs w:val="22"/>
        </w:rPr>
        <w:t>5 балів – «відмінно» - студент виконав усі зазначені у Сила</w:t>
      </w:r>
      <w:r w:rsidR="00133262" w:rsidRPr="00133262">
        <w:rPr>
          <w:rFonts w:asciiTheme="minorHAnsi" w:hAnsiTheme="minorHAnsi" w:cstheme="minorHAnsi"/>
          <w:sz w:val="22"/>
          <w:szCs w:val="22"/>
        </w:rPr>
        <w:t>бусі вимоги для виконання кейсу, студент демонструє повне, достатнє знання матеріалу; необхідний рівень умінь і навичок для правильного вирішення запропонованих ситуаційних вправ; послідовно і аргументовано відповідає на питання, посилаючись на практику ЄСПЛ.</w:t>
      </w:r>
    </w:p>
    <w:p w14:paraId="4F787DCF" w14:textId="319C07C1" w:rsidR="008E5CC0" w:rsidRPr="00133262" w:rsidRDefault="008E5CC0" w:rsidP="00133262">
      <w:pPr>
        <w:pStyle w:val="1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33262">
        <w:rPr>
          <w:rFonts w:asciiTheme="minorHAnsi" w:hAnsiTheme="minorHAnsi" w:cstheme="minorHAnsi"/>
        </w:rPr>
        <w:t xml:space="preserve">4 бала – «добре» - студент </w:t>
      </w:r>
      <w:r w:rsidR="001B6A6C" w:rsidRPr="00133262">
        <w:rPr>
          <w:rFonts w:asciiTheme="minorHAnsi" w:hAnsiTheme="minorHAnsi" w:cstheme="minorHAnsi"/>
          <w:lang w:val="uk-UA"/>
        </w:rPr>
        <w:t xml:space="preserve">не достатньо обґрунтовує свою позицію, </w:t>
      </w:r>
      <w:r w:rsidR="00133262" w:rsidRPr="00133262">
        <w:rPr>
          <w:rFonts w:asciiTheme="minorHAnsi" w:hAnsiTheme="minorHAnsi" w:cstheme="minorHAnsi"/>
          <w:lang w:val="uk-UA"/>
        </w:rPr>
        <w:t>розуміє змі</w:t>
      </w:r>
      <w:proofErr w:type="gramStart"/>
      <w:r w:rsidR="00133262" w:rsidRPr="00133262">
        <w:rPr>
          <w:rFonts w:asciiTheme="minorHAnsi" w:hAnsiTheme="minorHAnsi" w:cstheme="minorHAnsi"/>
          <w:lang w:val="uk-UA"/>
        </w:rPr>
        <w:t>ст</w:t>
      </w:r>
      <w:proofErr w:type="gramEnd"/>
      <w:r w:rsidR="00133262" w:rsidRPr="00133262">
        <w:rPr>
          <w:rFonts w:asciiTheme="minorHAnsi" w:hAnsiTheme="minorHAnsi" w:cstheme="minorHAnsi"/>
          <w:lang w:val="uk-UA"/>
        </w:rPr>
        <w:t xml:space="preserve"> ситуаційних вправ, але допускає несуттєві помилки при їх вирішенні;</w:t>
      </w:r>
    </w:p>
    <w:p w14:paraId="5C7F6077" w14:textId="677ABB7B" w:rsidR="008E5CC0" w:rsidRPr="00133262" w:rsidRDefault="008E5CC0" w:rsidP="008C427E">
      <w:pPr>
        <w:pStyle w:val="1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33262">
        <w:rPr>
          <w:rFonts w:asciiTheme="minorHAnsi" w:hAnsiTheme="minorHAnsi" w:cstheme="minorHAnsi"/>
        </w:rPr>
        <w:t>1-3 бали – «задовільно» - студент</w:t>
      </w:r>
      <w:r w:rsidR="001B6A6C" w:rsidRPr="00133262">
        <w:rPr>
          <w:rFonts w:asciiTheme="minorHAnsi" w:hAnsiTheme="minorHAnsi" w:cstheme="minorHAnsi"/>
          <w:lang w:val="uk-UA"/>
        </w:rPr>
        <w:t xml:space="preserve"> виконав кейс, але допустив значні помилки у виконанні кейсу, зокрема, не розкрив суть проблеми; завдання не </w:t>
      </w:r>
      <w:proofErr w:type="gramStart"/>
      <w:r w:rsidR="001B6A6C" w:rsidRPr="00133262">
        <w:rPr>
          <w:rFonts w:asciiTheme="minorHAnsi" w:hAnsiTheme="minorHAnsi" w:cstheme="minorHAnsi"/>
          <w:lang w:val="uk-UA"/>
        </w:rPr>
        <w:t>містить</w:t>
      </w:r>
      <w:proofErr w:type="gramEnd"/>
      <w:r w:rsidR="001B6A6C" w:rsidRPr="00133262">
        <w:rPr>
          <w:rFonts w:asciiTheme="minorHAnsi" w:hAnsiTheme="minorHAnsi" w:cstheme="minorHAnsi"/>
          <w:lang w:val="uk-UA"/>
        </w:rPr>
        <w:t xml:space="preserve"> відповідних посилань на</w:t>
      </w:r>
      <w:r w:rsidR="00133262" w:rsidRPr="00133262">
        <w:rPr>
          <w:rFonts w:asciiTheme="minorHAnsi" w:hAnsiTheme="minorHAnsi" w:cstheme="minorHAnsi"/>
          <w:lang w:val="uk-UA"/>
        </w:rPr>
        <w:t xml:space="preserve"> практику ЄСПЛ та</w:t>
      </w:r>
      <w:r w:rsidR="001B6A6C" w:rsidRPr="00133262">
        <w:rPr>
          <w:rFonts w:asciiTheme="minorHAnsi" w:hAnsiTheme="minorHAnsi" w:cstheme="minorHAnsi"/>
          <w:lang w:val="uk-UA"/>
        </w:rPr>
        <w:t xml:space="preserve"> запозичені аспекти; </w:t>
      </w:r>
    </w:p>
    <w:p w14:paraId="34EC001F" w14:textId="7C4E3851" w:rsidR="008E5CC0" w:rsidRPr="00133262" w:rsidRDefault="008E5CC0" w:rsidP="008C427E">
      <w:pPr>
        <w:pStyle w:val="1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33262">
        <w:rPr>
          <w:rFonts w:asciiTheme="minorHAnsi" w:hAnsiTheme="minorHAnsi" w:cstheme="minorHAnsi"/>
        </w:rPr>
        <w:t>0 балі</w:t>
      </w:r>
      <w:r w:rsidR="00133262" w:rsidRPr="00133262">
        <w:rPr>
          <w:rFonts w:asciiTheme="minorHAnsi" w:hAnsiTheme="minorHAnsi" w:cstheme="minorHAnsi"/>
        </w:rPr>
        <w:t>в – «незадові</w:t>
      </w:r>
      <w:proofErr w:type="gramStart"/>
      <w:r w:rsidR="00133262" w:rsidRPr="00133262">
        <w:rPr>
          <w:rFonts w:asciiTheme="minorHAnsi" w:hAnsiTheme="minorHAnsi" w:cstheme="minorHAnsi"/>
        </w:rPr>
        <w:t xml:space="preserve">льно» - </w:t>
      </w:r>
      <w:r w:rsidR="00133262" w:rsidRPr="00133262">
        <w:rPr>
          <w:rFonts w:asciiTheme="minorHAnsi" w:hAnsiTheme="minorHAnsi" w:cstheme="minorHAnsi"/>
          <w:lang w:val="uk-UA"/>
        </w:rPr>
        <w:t>в</w:t>
      </w:r>
      <w:proofErr w:type="gramEnd"/>
      <w:r w:rsidR="00133262" w:rsidRPr="00133262">
        <w:rPr>
          <w:rFonts w:asciiTheme="minorHAnsi" w:hAnsiTheme="minorHAnsi" w:cstheme="minorHAnsi"/>
          <w:lang w:val="uk-UA"/>
        </w:rPr>
        <w:t xml:space="preserve">ідсутність кейсу або виконання його </w:t>
      </w:r>
      <w:r w:rsidRPr="00133262">
        <w:rPr>
          <w:rFonts w:asciiTheme="minorHAnsi" w:hAnsiTheme="minorHAnsi" w:cstheme="minorHAnsi"/>
        </w:rPr>
        <w:t>не по с</w:t>
      </w:r>
      <w:r w:rsidR="00133262" w:rsidRPr="00133262">
        <w:rPr>
          <w:rFonts w:asciiTheme="minorHAnsi" w:hAnsiTheme="minorHAnsi" w:cstheme="minorHAnsi"/>
        </w:rPr>
        <w:t>уті</w:t>
      </w:r>
      <w:r w:rsidRPr="00133262">
        <w:rPr>
          <w:rFonts w:asciiTheme="minorHAnsi" w:hAnsiTheme="minorHAnsi" w:cstheme="minorHAnsi"/>
        </w:rPr>
        <w:t>.</w:t>
      </w:r>
    </w:p>
    <w:p w14:paraId="4E9462DD" w14:textId="50AB19EE" w:rsidR="001B6A6C" w:rsidRDefault="001B6A6C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133262">
        <w:rPr>
          <w:rFonts w:asciiTheme="minorHAnsi" w:hAnsiTheme="minorHAnsi" w:cstheme="minorHAnsi"/>
          <w:color w:val="000000"/>
          <w:spacing w:val="2"/>
          <w:sz w:val="22"/>
          <w:szCs w:val="22"/>
        </w:rPr>
        <w:t>Викладач оцінює роботу студента за виконання кейсу на протязі одного тижня, який обраховується з першого дня, який наступив після встановленого строку для здачі кейсу. Відповідно впродовж вказаного строку бали будуть виставлені у системі електронного Кампусу.</w:t>
      </w:r>
    </w:p>
    <w:p w14:paraId="5368C21B" w14:textId="0B6AFC47" w:rsidR="00760FD5" w:rsidRPr="00760FD5" w:rsidRDefault="00760FD5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760FD5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Кейс може оцінюватись і у 10 балів, залежно від його складності.</w:t>
      </w: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Оцінка кейсу буде повідомлена викладачем перед тим, як кейс буде наданий для опрацювання.</w:t>
      </w:r>
    </w:p>
    <w:p w14:paraId="676D6073" w14:textId="77777777" w:rsidR="008C427E" w:rsidRPr="00133262" w:rsidRDefault="008C427E" w:rsidP="008C427E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C31088D" w14:textId="238B9933" w:rsidR="00133262" w:rsidRPr="00133262" w:rsidRDefault="00DC04DC" w:rsidP="006C0462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133262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Модульна контрольна робота </w:t>
      </w:r>
      <w:r w:rsidRPr="00133262">
        <w:rPr>
          <w:rFonts w:asciiTheme="minorHAnsi" w:hAnsiTheme="minorHAnsi" w:cstheme="minorHAnsi"/>
          <w:b/>
          <w:spacing w:val="4"/>
          <w:sz w:val="22"/>
          <w:szCs w:val="22"/>
        </w:rPr>
        <w:t>у вигляді заповнення формуляру (заяви</w:t>
      </w:r>
      <w:r w:rsidR="004F65A1">
        <w:rPr>
          <w:rFonts w:asciiTheme="minorHAnsi" w:hAnsiTheme="minorHAnsi" w:cstheme="minorHAnsi"/>
          <w:b/>
          <w:spacing w:val="4"/>
          <w:sz w:val="22"/>
          <w:szCs w:val="22"/>
        </w:rPr>
        <w:t>) до ЄСПЛ оцінюється у 15</w:t>
      </w:r>
      <w:r w:rsidR="00133262" w:rsidRPr="00133262">
        <w:rPr>
          <w:rFonts w:asciiTheme="minorHAnsi" w:hAnsiTheme="minorHAnsi" w:cstheme="minorHAnsi"/>
          <w:b/>
          <w:spacing w:val="4"/>
          <w:sz w:val="22"/>
          <w:szCs w:val="22"/>
        </w:rPr>
        <w:t xml:space="preserve"> балів, де:</w:t>
      </w:r>
    </w:p>
    <w:p w14:paraId="4B8D23EA" w14:textId="77777777" w:rsidR="00133262" w:rsidRPr="00133262" w:rsidRDefault="00133262" w:rsidP="00133262">
      <w:pPr>
        <w:pStyle w:val="21"/>
        <w:spacing w:after="0" w:line="240" w:lineRule="auto"/>
        <w:ind w:left="0"/>
        <w:rPr>
          <w:rFonts w:asciiTheme="minorHAnsi" w:hAnsiTheme="minorHAnsi" w:cstheme="minorHAnsi"/>
          <w:lang w:val="uk-UA"/>
        </w:rPr>
      </w:pPr>
      <w:r w:rsidRPr="00133262">
        <w:rPr>
          <w:rFonts w:asciiTheme="minorHAnsi" w:hAnsiTheme="minorHAnsi" w:cstheme="minorHAnsi"/>
          <w:lang w:val="uk-UA"/>
        </w:rPr>
        <w:t>15-13 балів – «відмінно» (виконання завдання, відповідно, від 80% до 100%);</w:t>
      </w:r>
    </w:p>
    <w:p w14:paraId="00A79CD5" w14:textId="77777777" w:rsidR="00133262" w:rsidRPr="00133262" w:rsidRDefault="00133262" w:rsidP="00133262">
      <w:pPr>
        <w:pStyle w:val="21"/>
        <w:spacing w:after="0" w:line="240" w:lineRule="auto"/>
        <w:ind w:left="0"/>
        <w:rPr>
          <w:rFonts w:asciiTheme="minorHAnsi" w:hAnsiTheme="minorHAnsi" w:cstheme="minorHAnsi"/>
          <w:lang w:val="uk-UA"/>
        </w:rPr>
      </w:pPr>
      <w:r w:rsidRPr="00133262">
        <w:rPr>
          <w:rFonts w:asciiTheme="minorHAnsi" w:hAnsiTheme="minorHAnsi" w:cstheme="minorHAnsi"/>
          <w:lang w:val="uk-UA"/>
        </w:rPr>
        <w:t>12-8 балів – «добре» (виконання завдання, відповідно, від 60% до 80%);</w:t>
      </w:r>
    </w:p>
    <w:p w14:paraId="39383C2B" w14:textId="77777777" w:rsidR="00133262" w:rsidRPr="00133262" w:rsidRDefault="00133262" w:rsidP="00133262">
      <w:pPr>
        <w:pStyle w:val="21"/>
        <w:spacing w:after="0" w:line="240" w:lineRule="auto"/>
        <w:ind w:left="0"/>
        <w:rPr>
          <w:rFonts w:asciiTheme="minorHAnsi" w:hAnsiTheme="minorHAnsi" w:cstheme="minorHAnsi"/>
          <w:lang w:val="uk-UA"/>
        </w:rPr>
      </w:pPr>
      <w:r w:rsidRPr="00133262">
        <w:rPr>
          <w:rFonts w:asciiTheme="minorHAnsi" w:hAnsiTheme="minorHAnsi" w:cstheme="minorHAnsi"/>
          <w:lang w:val="uk-UA"/>
        </w:rPr>
        <w:t>7-4 бала – «задовільно» (виконання завдання, відповідно, від 45% до 60%);</w:t>
      </w:r>
    </w:p>
    <w:p w14:paraId="3D691E94" w14:textId="77777777" w:rsidR="00133262" w:rsidRPr="00133262" w:rsidRDefault="00133262" w:rsidP="00133262">
      <w:pPr>
        <w:pStyle w:val="21"/>
        <w:spacing w:after="0" w:line="240" w:lineRule="auto"/>
        <w:ind w:left="0"/>
        <w:rPr>
          <w:rFonts w:asciiTheme="minorHAnsi" w:hAnsiTheme="minorHAnsi" w:cstheme="minorHAnsi"/>
          <w:lang w:val="uk-UA"/>
        </w:rPr>
      </w:pPr>
      <w:r w:rsidRPr="00133262">
        <w:rPr>
          <w:rFonts w:asciiTheme="minorHAnsi" w:hAnsiTheme="minorHAnsi" w:cstheme="minorHAnsi"/>
          <w:lang w:val="uk-UA"/>
        </w:rPr>
        <w:t>3-1 бала – «незадовільно» (виконання завдання, відповідно, від 0% до 45%);</w:t>
      </w:r>
    </w:p>
    <w:p w14:paraId="36CFFFA6" w14:textId="2337ED71" w:rsidR="00133262" w:rsidRPr="00133262" w:rsidRDefault="00133262" w:rsidP="006C0462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133262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</w:p>
    <w:p w14:paraId="339CCB1D" w14:textId="294EB2D7" w:rsidR="00133262" w:rsidRPr="00476100" w:rsidRDefault="00133262" w:rsidP="001332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6100">
        <w:rPr>
          <w:rFonts w:asciiTheme="minorHAnsi" w:hAnsiTheme="minorHAnsi" w:cstheme="minorHAnsi"/>
          <w:b/>
          <w:sz w:val="22"/>
          <w:szCs w:val="22"/>
        </w:rPr>
        <w:t xml:space="preserve">Виходячи з розміру шкали </w:t>
      </w:r>
      <w:r w:rsidRPr="00476100">
        <w:rPr>
          <w:rFonts w:asciiTheme="minorHAnsi" w:hAnsiTheme="minorHAnsi" w:cstheme="minorHAnsi"/>
          <w:b/>
          <w:bCs/>
          <w:sz w:val="22"/>
          <w:szCs w:val="22"/>
          <w:lang w:val="en-US"/>
        </w:rPr>
        <w:t>RD</w:t>
      </w:r>
      <w:r w:rsidRPr="00476100">
        <w:rPr>
          <w:rFonts w:asciiTheme="minorHAnsi" w:hAnsiTheme="minorHAnsi" w:cstheme="minorHAnsi"/>
          <w:b/>
          <w:bCs/>
          <w:sz w:val="22"/>
          <w:szCs w:val="22"/>
          <w:vertAlign w:val="subscript"/>
        </w:rPr>
        <w:t xml:space="preserve"> </w:t>
      </w:r>
      <w:r w:rsidRPr="00476100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Pr="00476100">
        <w:rPr>
          <w:rFonts w:asciiTheme="minorHAnsi" w:hAnsiTheme="minorHAnsi" w:cstheme="minorHAnsi"/>
          <w:b/>
          <w:bCs/>
          <w:spacing w:val="-2"/>
          <w:sz w:val="22"/>
          <w:szCs w:val="22"/>
        </w:rPr>
        <w:t>60 (семінарські заняття)</w:t>
      </w:r>
      <w:r w:rsidRPr="00476100"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Pr="0047610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25 (кейси) +15 (МКР) </w:t>
      </w:r>
      <w:r w:rsidRPr="00476100">
        <w:rPr>
          <w:rFonts w:asciiTheme="minorHAnsi" w:hAnsiTheme="minorHAnsi" w:cstheme="minorHAnsi"/>
          <w:b/>
          <w:sz w:val="22"/>
          <w:szCs w:val="22"/>
        </w:rPr>
        <w:t>= 100 балів.</w:t>
      </w:r>
      <w:r w:rsidR="00760FD5" w:rsidRPr="004761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2FAC95" w14:textId="2983F12B" w:rsidR="00760FD5" w:rsidRDefault="00760FD5" w:rsidP="001332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Якщо кількість </w:t>
      </w:r>
      <w:r w:rsidR="004F65A1">
        <w:rPr>
          <w:rFonts w:asciiTheme="minorHAnsi" w:hAnsiTheme="minorHAnsi" w:cstheme="minorHAnsi"/>
          <w:sz w:val="22"/>
          <w:szCs w:val="22"/>
          <w:lang w:val="ru-RU"/>
        </w:rPr>
        <w:t xml:space="preserve">семінарських </w:t>
      </w:r>
      <w:r>
        <w:rPr>
          <w:rFonts w:asciiTheme="minorHAnsi" w:hAnsiTheme="minorHAnsi" w:cstheme="minorHAnsi"/>
          <w:sz w:val="22"/>
          <w:szCs w:val="22"/>
        </w:rPr>
        <w:t>занять в силу об’єктивних причин буде зменшена, то буде збільшена кількість балів за МКР. Такі обставини будуть наперед обумовлені та роз’яснені студентам.</w:t>
      </w:r>
    </w:p>
    <w:p w14:paraId="45C7B94A" w14:textId="2B5321C5" w:rsidR="004F65A1" w:rsidRPr="004F65A1" w:rsidRDefault="004F65A1" w:rsidP="00133262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F65A1">
        <w:rPr>
          <w:rFonts w:asciiTheme="minorHAnsi" w:hAnsiTheme="minorHAnsi" w:cstheme="minorHAnsi"/>
          <w:b/>
          <w:sz w:val="22"/>
          <w:szCs w:val="22"/>
        </w:rPr>
        <w:t>Додаткові бал</w:t>
      </w:r>
      <w:r>
        <w:rPr>
          <w:rFonts w:asciiTheme="minorHAnsi" w:hAnsiTheme="minorHAnsi" w:cstheme="minorHAnsi"/>
          <w:b/>
          <w:sz w:val="22"/>
          <w:szCs w:val="22"/>
        </w:rPr>
        <w:t>и передбачені за написання стат</w:t>
      </w:r>
      <w:r w:rsidRPr="004F65A1">
        <w:rPr>
          <w:rFonts w:asciiTheme="minorHAnsi" w:hAnsiTheme="minorHAnsi" w:cstheme="minorHAnsi"/>
          <w:b/>
          <w:sz w:val="22"/>
          <w:szCs w:val="22"/>
        </w:rPr>
        <w:t>ей</w:t>
      </w:r>
      <w:r w:rsidR="00BE14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65A1">
        <w:rPr>
          <w:rFonts w:asciiTheme="minorHAnsi" w:hAnsiTheme="minorHAnsi" w:cstheme="minorHAnsi"/>
          <w:b/>
          <w:sz w:val="22"/>
          <w:szCs w:val="22"/>
        </w:rPr>
        <w:t>тез</w:t>
      </w:r>
      <w:r w:rsidR="00BE1476" w:rsidRPr="00BE1476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BE1476">
        <w:rPr>
          <w:rFonts w:asciiTheme="minorHAnsi" w:hAnsiTheme="minorHAnsi" w:cstheme="minorHAnsi"/>
          <w:b/>
          <w:sz w:val="22"/>
          <w:szCs w:val="22"/>
          <w:lang w:val="ru-RU"/>
        </w:rPr>
        <w:t>статей</w:t>
      </w:r>
      <w:r w:rsidR="00476100">
        <w:rPr>
          <w:rFonts w:asciiTheme="minorHAnsi" w:hAnsiTheme="minorHAnsi" w:cstheme="minorHAnsi"/>
          <w:b/>
          <w:sz w:val="22"/>
          <w:szCs w:val="22"/>
        </w:rPr>
        <w:t xml:space="preserve"> (10 балів)</w:t>
      </w:r>
      <w:r w:rsidRPr="004F65A1">
        <w:rPr>
          <w:rFonts w:asciiTheme="minorHAnsi" w:hAnsiTheme="minorHAnsi" w:cstheme="minorHAnsi"/>
          <w:b/>
          <w:sz w:val="22"/>
          <w:szCs w:val="22"/>
        </w:rPr>
        <w:t xml:space="preserve"> та проходження курсів на платформах, наприклад, </w:t>
      </w:r>
      <w:r w:rsidRPr="004F65A1">
        <w:rPr>
          <w:rFonts w:asciiTheme="minorHAnsi" w:hAnsiTheme="minorHAnsi" w:cstheme="minorHAnsi"/>
          <w:b/>
          <w:sz w:val="22"/>
          <w:szCs w:val="22"/>
          <w:lang w:val="en-US"/>
        </w:rPr>
        <w:t>Prometheus</w:t>
      </w:r>
      <w:r w:rsidR="00476100">
        <w:rPr>
          <w:rFonts w:asciiTheme="minorHAnsi" w:hAnsiTheme="minorHAnsi" w:cstheme="minorHAnsi"/>
          <w:b/>
          <w:sz w:val="22"/>
          <w:szCs w:val="22"/>
        </w:rPr>
        <w:t xml:space="preserve"> (10 балів)</w:t>
      </w:r>
      <w:r w:rsidRPr="004F65A1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="0047610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14:paraId="586767B0" w14:textId="0221E99A" w:rsidR="005111B5" w:rsidRPr="00133262" w:rsidRDefault="005111B5" w:rsidP="006C0462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3262">
        <w:rPr>
          <w:rFonts w:asciiTheme="minorHAnsi" w:hAnsiTheme="minorHAnsi" w:cstheme="minorHAnsi"/>
          <w:sz w:val="22"/>
          <w:szCs w:val="22"/>
        </w:rPr>
        <w:t>Студент може оскаржити оцінку викладача, подавши відповідну скаргу викладачу не пізніше наступного дня після ознайомлення студента з виставленою викладачем оцінкою. Скарга розглядатиметься за процедурами, встановленими університетом.</w:t>
      </w:r>
    </w:p>
    <w:p w14:paraId="649D4B6E" w14:textId="77777777" w:rsidR="0054477B" w:rsidRPr="00133262" w:rsidRDefault="0054477B" w:rsidP="00D00E22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3262">
        <w:rPr>
          <w:rFonts w:asciiTheme="minorHAnsi" w:hAnsiTheme="minorHAnsi" w:cstheme="minorHAnsi"/>
          <w:b/>
          <w:sz w:val="22"/>
          <w:szCs w:val="22"/>
        </w:rPr>
        <w:t>Студент протягом семестру має можливість набрати усі 100 балів та отримати оцінку «автоматом», не здаючи залік.</w:t>
      </w:r>
    </w:p>
    <w:p w14:paraId="0163B8EB" w14:textId="786AD550" w:rsidR="0054477B" w:rsidRPr="00BE1476" w:rsidRDefault="0054477B" w:rsidP="00D00E22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3262">
        <w:rPr>
          <w:rFonts w:asciiTheme="minorHAnsi" w:hAnsiTheme="minorHAnsi" w:cstheme="minorHAnsi"/>
          <w:b/>
          <w:sz w:val="22"/>
          <w:szCs w:val="22"/>
        </w:rPr>
        <w:t>Студент, який отримав менше 60 балів – здає залік.</w:t>
      </w:r>
      <w:r w:rsidR="00BE147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Допуск – 30 бал</w:t>
      </w:r>
      <w:r w:rsidR="00BE1476">
        <w:rPr>
          <w:rFonts w:asciiTheme="minorHAnsi" w:hAnsiTheme="minorHAnsi" w:cstheme="minorHAnsi"/>
          <w:b/>
          <w:sz w:val="22"/>
          <w:szCs w:val="22"/>
        </w:rPr>
        <w:t>ів (обов’язкове виконання МКР).</w:t>
      </w:r>
    </w:p>
    <w:p w14:paraId="505B11DF" w14:textId="72CC3D99" w:rsidR="0054477B" w:rsidRPr="00133262" w:rsidRDefault="00B63A5F" w:rsidP="00D31D22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Студент, який за семестр</w:t>
      </w:r>
      <w:r w:rsidR="0054477B" w:rsidRPr="00133262">
        <w:rPr>
          <w:rFonts w:asciiTheme="minorHAnsi" w:hAnsiTheme="minorHAnsi" w:cstheme="minorHAnsi"/>
          <w:b/>
          <w:sz w:val="22"/>
          <w:szCs w:val="22"/>
        </w:rPr>
        <w:t xml:space="preserve"> отримав більше 60 балів, але бажає підвищити свій результат, може здати залік.</w:t>
      </w:r>
      <w:r w:rsidR="008B4DE6" w:rsidRPr="001332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2BE8F67" w14:textId="0BE953C6" w:rsidR="00133262" w:rsidRPr="00133262" w:rsidRDefault="00023910" w:rsidP="00D31D22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Залік проходитиме в усній формі</w:t>
      </w:r>
      <w:r w:rsidR="00B63A5F">
        <w:rPr>
          <w:rFonts w:asciiTheme="minorHAnsi" w:hAnsiTheme="minorHAnsi" w:cstheme="minorHAnsi"/>
          <w:b/>
          <w:sz w:val="22"/>
          <w:szCs w:val="22"/>
        </w:rPr>
        <w:t>. Питання для підготовки викладені у додатковій інформації.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6D8ADC" w14:textId="43DC4578" w:rsidR="008B4DE6" w:rsidRPr="00133262" w:rsidRDefault="008B4DE6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2C4EAB60" w14:textId="4FA95843" w:rsidR="004A6336" w:rsidRPr="00D31D22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D31D22">
        <w:rPr>
          <w:rFonts w:asciiTheme="minorHAnsi" w:hAnsiTheme="minorHAnsi"/>
          <w:b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D31D22">
        <w:rPr>
          <w:rFonts w:asciiTheme="minorHAnsi" w:hAnsiTheme="minorHAnsi"/>
          <w:b/>
          <w:sz w:val="24"/>
          <w:szCs w:val="24"/>
        </w:rPr>
        <w:t>:</w:t>
      </w:r>
      <w:r w:rsidR="003F0A41" w:rsidRPr="00D31D22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4FE7F9AF" w14:textId="77777777" w:rsidTr="005111B5">
        <w:tc>
          <w:tcPr>
            <w:tcW w:w="3119" w:type="dxa"/>
          </w:tcPr>
          <w:p w14:paraId="61115C50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i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31D22">
              <w:rPr>
                <w:rFonts w:asciiTheme="minorHAnsi" w:hAnsiTheme="minorHAnsi"/>
                <w:i/>
                <w:sz w:val="22"/>
                <w:szCs w:val="22"/>
              </w:rPr>
              <w:t>Оцінка</w:t>
            </w:r>
          </w:p>
        </w:tc>
      </w:tr>
      <w:tr w:rsidR="004A6336" w:rsidRPr="00570FF5" w14:paraId="78A2C290" w14:textId="77777777" w:rsidTr="005111B5">
        <w:tc>
          <w:tcPr>
            <w:tcW w:w="3119" w:type="dxa"/>
          </w:tcPr>
          <w:p w14:paraId="11627FE0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Відмінно</w:t>
            </w:r>
          </w:p>
        </w:tc>
      </w:tr>
      <w:tr w:rsidR="004A6336" w:rsidRPr="00570FF5" w14:paraId="364A0B8C" w14:textId="77777777" w:rsidTr="005111B5">
        <w:tc>
          <w:tcPr>
            <w:tcW w:w="3119" w:type="dxa"/>
          </w:tcPr>
          <w:p w14:paraId="170EFE8F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Дуже добре</w:t>
            </w:r>
          </w:p>
        </w:tc>
      </w:tr>
      <w:tr w:rsidR="004A6336" w:rsidRPr="00570FF5" w14:paraId="76D958DF" w14:textId="77777777" w:rsidTr="005111B5">
        <w:tc>
          <w:tcPr>
            <w:tcW w:w="3119" w:type="dxa"/>
          </w:tcPr>
          <w:p w14:paraId="51A9BCC5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Добре</w:t>
            </w:r>
          </w:p>
        </w:tc>
      </w:tr>
      <w:tr w:rsidR="004A6336" w:rsidRPr="00570FF5" w14:paraId="69C3B61C" w14:textId="77777777" w:rsidTr="005111B5">
        <w:tc>
          <w:tcPr>
            <w:tcW w:w="3119" w:type="dxa"/>
          </w:tcPr>
          <w:p w14:paraId="0B335821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Задовільно</w:t>
            </w:r>
          </w:p>
        </w:tc>
      </w:tr>
      <w:tr w:rsidR="004A6336" w:rsidRPr="00570FF5" w14:paraId="0AAF5C24" w14:textId="77777777" w:rsidTr="005111B5">
        <w:tc>
          <w:tcPr>
            <w:tcW w:w="3119" w:type="dxa"/>
          </w:tcPr>
          <w:p w14:paraId="142E2F8F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Достатньо</w:t>
            </w:r>
          </w:p>
        </w:tc>
      </w:tr>
      <w:tr w:rsidR="004A6336" w:rsidRPr="00570FF5" w14:paraId="318C64DC" w14:textId="77777777" w:rsidTr="005111B5">
        <w:tc>
          <w:tcPr>
            <w:tcW w:w="3119" w:type="dxa"/>
          </w:tcPr>
          <w:p w14:paraId="046E94AB" w14:textId="77777777" w:rsidR="004A6336" w:rsidRPr="00D31D22" w:rsidRDefault="004A6336" w:rsidP="005111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</w:pPr>
            <w:r w:rsidRPr="00D31D22">
              <w:rPr>
                <w:rFonts w:asciiTheme="minorHAnsi" w:eastAsia="Times New Roman" w:hAnsiTheme="minorHAnsi"/>
                <w:sz w:val="22"/>
                <w:szCs w:val="22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Незадовільно</w:t>
            </w:r>
          </w:p>
        </w:tc>
      </w:tr>
      <w:tr w:rsidR="004A6336" w:rsidRPr="00570FF5" w14:paraId="156B2581" w14:textId="77777777" w:rsidTr="005111B5">
        <w:tc>
          <w:tcPr>
            <w:tcW w:w="3119" w:type="dxa"/>
            <w:vAlign w:val="center"/>
          </w:tcPr>
          <w:p w14:paraId="72061DF7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D31D22" w:rsidRDefault="004A6336" w:rsidP="005111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1D22">
              <w:rPr>
                <w:rFonts w:asciiTheme="minorHAnsi" w:hAnsiTheme="minorHAnsi"/>
                <w:sz w:val="22"/>
                <w:szCs w:val="22"/>
              </w:rPr>
              <w:t>Не допущено</w:t>
            </w:r>
          </w:p>
        </w:tc>
      </w:tr>
    </w:tbl>
    <w:p w14:paraId="4564A182" w14:textId="5F853449" w:rsidR="003555EA" w:rsidRDefault="003555EA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285F99D" w14:textId="75A6ECC5" w:rsidR="006C0462" w:rsidRDefault="006C0462" w:rsidP="006C0462">
      <w:pPr>
        <w:pStyle w:val="1"/>
      </w:pPr>
      <w:r w:rsidRPr="00BA6203">
        <w:t>Додаткова інформація з дисципліни</w:t>
      </w:r>
      <w:r>
        <w:t xml:space="preserve"> (освітнього компонента)</w:t>
      </w:r>
    </w:p>
    <w:p w14:paraId="2CE703EC" w14:textId="358E3EB1" w:rsidR="00EC5EA8" w:rsidRDefault="00EC5EA8" w:rsidP="006C0462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07CA7E" w14:textId="64B21FF8" w:rsidR="00EC5EA8" w:rsidRDefault="00EC5EA8" w:rsidP="00EC5EA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5EA8">
        <w:rPr>
          <w:rFonts w:asciiTheme="minorHAnsi" w:hAnsiTheme="minorHAnsi" w:cstheme="minorHAnsi"/>
          <w:b/>
          <w:sz w:val="22"/>
          <w:szCs w:val="22"/>
        </w:rPr>
        <w:t>Питання на залік:</w:t>
      </w:r>
    </w:p>
    <w:p w14:paraId="208162CF" w14:textId="1EB86064" w:rsidR="00EC5EA8" w:rsidRDefault="00EC5EA8" w:rsidP="00EC5EA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36BF52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Конвенція про захист прав людини та основоположних свобод та її ратифікація Україною</w:t>
      </w:r>
    </w:p>
    <w:p w14:paraId="4E5654B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Протоколи до Конвенції, їх види та призначення</w:t>
      </w:r>
    </w:p>
    <w:p w14:paraId="60FD364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схема проходження справи в ЄСПЛ</w:t>
      </w:r>
    </w:p>
    <w:p w14:paraId="6D18A31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 xml:space="preserve">Види складу суду (формацій), в яких діє ЄСПЛ </w:t>
      </w:r>
    </w:p>
    <w:p w14:paraId="6535FDB3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Основні ідеї щодо діяльності ЄСПЛ</w:t>
      </w:r>
    </w:p>
    <w:p w14:paraId="6352B389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Загальні особливості практики ЄСПЛ</w:t>
      </w:r>
    </w:p>
    <w:p w14:paraId="76BE841B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Значення практики ЄСПЛ</w:t>
      </w:r>
    </w:p>
    <w:p w14:paraId="05DEEAE3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Статистика справ ЄСПЛ</w:t>
      </w:r>
    </w:p>
    <w:p w14:paraId="53E5A94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Мета Конвенції та тлумачення її як живого документа</w:t>
      </w:r>
    </w:p>
    <w:p w14:paraId="2C9D00EF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Принципи тлумачення Конвенції (відповідного розуміння прав людини) в практиці ЄСПЛ</w:t>
      </w:r>
    </w:p>
    <w:p w14:paraId="1E39A45F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Ефективне тлумачення Конвенції (ефективний захист прав людини)</w:t>
      </w:r>
    </w:p>
    <w:p w14:paraId="2463984C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Динамічне тлумачення</w:t>
      </w:r>
    </w:p>
    <w:p w14:paraId="1BD64F8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Об’єктивне тлумачення та автономне тлумачення</w:t>
      </w:r>
    </w:p>
    <w:p w14:paraId="07B60FE4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Певна свобода національного розсуду</w:t>
      </w:r>
    </w:p>
    <w:p w14:paraId="6E8C5E7D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Принцип правової визначеності в тлумаченні Конвенції</w:t>
      </w:r>
      <w:r w:rsidRPr="00EC5EA8">
        <w:rPr>
          <w:rFonts w:asciiTheme="minorHAnsi" w:hAnsiTheme="minorHAnsi" w:cstheme="minorHAnsi"/>
          <w:sz w:val="22"/>
          <w:szCs w:val="22"/>
          <w:lang w:val="uk-UA"/>
        </w:rPr>
        <w:tab/>
      </w:r>
    </w:p>
    <w:p w14:paraId="1A11D840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Значення преамбули та ст. 1 Конвенції</w:t>
      </w:r>
    </w:p>
    <w:p w14:paraId="39A1C606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Верховенство права</w:t>
      </w:r>
    </w:p>
    <w:p w14:paraId="0E36A58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Юридична (правова) визначеність</w:t>
      </w:r>
    </w:p>
    <w:p w14:paraId="6179F61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Якість закону</w:t>
      </w:r>
    </w:p>
    <w:p w14:paraId="1EE32228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Законність втручання в право, охоронюване Конвенцією (обмеження такого права) – “трискладовий тест”</w:t>
      </w:r>
    </w:p>
    <w:p w14:paraId="0AA222C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Компоненти права на справедливий суд</w:t>
      </w:r>
    </w:p>
    <w:p w14:paraId="091D5316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Право на доступ до суду</w:t>
      </w:r>
    </w:p>
    <w:p w14:paraId="4509333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Елементи права на захист</w:t>
      </w:r>
    </w:p>
    <w:p w14:paraId="0CFE4549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Чому важливо право на доступ до захисника</w:t>
      </w:r>
    </w:p>
    <w:p w14:paraId="11B4AA82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Рівність сторін</w:t>
      </w:r>
    </w:p>
    <w:p w14:paraId="5AFDFE6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Обґрунтованість (мотивованість) рішень суду</w:t>
      </w:r>
    </w:p>
    <w:p w14:paraId="5D16036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Право зберігати мовчання і не свідчити проти себе</w:t>
      </w:r>
    </w:p>
    <w:p w14:paraId="308D2032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Право на публічність провадження</w:t>
      </w:r>
    </w:p>
    <w:p w14:paraId="3118E439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Право на розгляд справи в розумний строк</w:t>
      </w:r>
    </w:p>
    <w:p w14:paraId="22F8322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Автономне поняття «суд»</w:t>
      </w:r>
    </w:p>
    <w:p w14:paraId="26A9CF87" w14:textId="50333E8E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Судовий контроль рішен</w:t>
      </w:r>
      <w:r w:rsidR="00DC6A64">
        <w:rPr>
          <w:rFonts w:asciiTheme="minorHAnsi" w:hAnsiTheme="minorHAnsi" w:cstheme="minorHAnsi"/>
          <w:sz w:val="22"/>
          <w:szCs w:val="22"/>
          <w:lang w:val="uk-UA"/>
        </w:rPr>
        <w:t xml:space="preserve">ь адміністративних </w:t>
      </w:r>
      <w:r w:rsidRPr="00EC5EA8">
        <w:rPr>
          <w:rFonts w:asciiTheme="minorHAnsi" w:hAnsiTheme="minorHAnsi" w:cstheme="minorHAnsi"/>
          <w:sz w:val="22"/>
          <w:szCs w:val="22"/>
          <w:lang w:val="uk-UA"/>
        </w:rPr>
        <w:t>органів</w:t>
      </w:r>
    </w:p>
    <w:p w14:paraId="5B8B2617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Суд, встановлений законом</w:t>
      </w:r>
    </w:p>
    <w:p w14:paraId="0441151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Незалежність та безсторонність (impartiality) (неупередженість) суду</w:t>
      </w:r>
    </w:p>
    <w:p w14:paraId="4FD34AA1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Принцип res judicata (вирішена справа) – складова правової визначеності</w:t>
      </w:r>
    </w:p>
    <w:p w14:paraId="77E2E790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Автономне поняття «Кримінальне обвинувачення»</w:t>
      </w:r>
    </w:p>
    <w:p w14:paraId="56DA80C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Приклади справ, що в практиці ЄСПЛ розглядаються як кримінальні</w:t>
      </w:r>
    </w:p>
    <w:p w14:paraId="178B9A6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Критерії для розгляду справ про штрафні донарахування податків як кримінальних</w:t>
      </w:r>
    </w:p>
    <w:p w14:paraId="61B027A7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Право на оскарження в кримінальних справах</w:t>
      </w:r>
    </w:p>
    <w:p w14:paraId="3DEE2CA0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Презумпція невинуватості та її призначення</w:t>
      </w:r>
    </w:p>
    <w:p w14:paraId="7532D2BC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Елементи презумпції невинуватості</w:t>
      </w:r>
    </w:p>
    <w:p w14:paraId="39CB639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lastRenderedPageBreak/>
        <w:t>Приклади порушення презумпції невинуватості</w:t>
      </w:r>
    </w:p>
    <w:p w14:paraId="4AB97ED6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Неможливість вважати особу винуватою, якщо не було повного розгляду</w:t>
      </w:r>
    </w:p>
    <w:p w14:paraId="4943BACC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 xml:space="preserve">Ухилення суду від розгляду справи </w:t>
      </w:r>
      <w:r w:rsidRPr="00EC5EA8">
        <w:rPr>
          <w:rFonts w:asciiTheme="minorHAnsi" w:hAnsiTheme="minorHAnsi" w:cstheme="minorHAnsi"/>
          <w:sz w:val="22"/>
          <w:szCs w:val="22"/>
          <w:cs/>
          <w:lang w:val="uk-UA"/>
        </w:rPr>
        <w:t>–</w:t>
      </w:r>
      <w:r w:rsidRPr="00EC5EA8">
        <w:rPr>
          <w:rFonts w:asciiTheme="minorHAnsi" w:hAnsiTheme="minorHAnsi" w:cstheme="minorHAnsi"/>
          <w:sz w:val="22"/>
          <w:szCs w:val="22"/>
          <w:lang w:val="uk-UA"/>
        </w:rPr>
        <w:t xml:space="preserve"> порушення права на справедливий суд</w:t>
      </w:r>
    </w:p>
    <w:p w14:paraId="466202E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Поняття “спір” (dispute)</w:t>
      </w:r>
    </w:p>
    <w:p w14:paraId="3915DC6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Автономне поняття “Цивільні права і обов'язки”</w:t>
      </w:r>
    </w:p>
    <w:p w14:paraId="16B5A474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Інші (крім основного розгляду) стадії проходження справи як складова судового розгляду</w:t>
      </w:r>
    </w:p>
    <w:p w14:paraId="5172B6BA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Мета статті 5 Конвенції – захист особи від свавілля</w:t>
      </w:r>
    </w:p>
    <w:p w14:paraId="38D8ED70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Основні характеристики права на свободу та особисту недоторканність</w:t>
      </w:r>
    </w:p>
    <w:p w14:paraId="7519C2CB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Позбавлення свободи як автономне поняття в практиці ЄСПЛ</w:t>
      </w:r>
    </w:p>
    <w:p w14:paraId="7852CF2B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Сфера застосування статті 5</w:t>
      </w:r>
    </w:p>
    <w:p w14:paraId="1BE29457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>ідстави взяття під варту в вигляді запобіжного заходу (п. 1(с) Конвенції)</w:t>
      </w:r>
    </w:p>
    <w:p w14:paraId="5E61A0D9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Поняття обґрунтованої </w:t>
      </w: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>ідозри</w:t>
      </w:r>
    </w:p>
    <w:p w14:paraId="62649D77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Повідомлення причин затримання</w:t>
      </w:r>
    </w:p>
    <w:p w14:paraId="48F9C901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Судовий контроль за затриманням</w:t>
      </w:r>
    </w:p>
    <w:p w14:paraId="31A0FEFC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Р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>ізні стадії судового контролю над затриманням і триманням під вартою без вироку суду</w:t>
      </w:r>
    </w:p>
    <w:p w14:paraId="0862D84D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Розумність строку розгляду справи затриманої особи</w:t>
      </w:r>
    </w:p>
    <w:p w14:paraId="5310B1C7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Особлива ретельність при розслідуванні справ осіб, що тримаються </w:t>
      </w: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>ід вартою</w:t>
      </w:r>
    </w:p>
    <w:p w14:paraId="4280F4C9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Ризики </w:t>
      </w: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для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 правомірної відмови в досудовому звільненні</w:t>
      </w:r>
    </w:p>
    <w:p w14:paraId="683BA686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Ризик втечі</w:t>
      </w:r>
    </w:p>
    <w:p w14:paraId="537044E9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Ризик перешкоджання правосуддю</w:t>
      </w:r>
    </w:p>
    <w:p w14:paraId="15107D82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Ризик вчинення правопорушень</w:t>
      </w:r>
    </w:p>
    <w:p w14:paraId="34AB960E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Конкретність ризику</w:t>
      </w:r>
    </w:p>
    <w:p w14:paraId="35A868E9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Недостатність самої обґрунтованої </w:t>
      </w: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>ідозри для продовжуваного тримання під вартою</w:t>
      </w:r>
    </w:p>
    <w:p w14:paraId="18CD739C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>Альтернативний запобіжний захід, зокрема застава</w:t>
      </w:r>
    </w:p>
    <w:p w14:paraId="1CD8EDA8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Три </w:t>
      </w: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р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>ізні підстави для судового контролю</w:t>
      </w:r>
    </w:p>
    <w:p w14:paraId="49221288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Право вимагати перевірки судом правомірності тримання </w:t>
      </w:r>
      <w:proofErr w:type="gramStart"/>
      <w:r w:rsidRPr="00EC5EA8"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ід вартою </w:t>
      </w:r>
      <w:r w:rsidRPr="00EC5EA8">
        <w:rPr>
          <w:rFonts w:asciiTheme="minorHAnsi" w:hAnsiTheme="minorHAnsi" w:cstheme="minorHAnsi"/>
          <w:sz w:val="22"/>
          <w:szCs w:val="22"/>
          <w:cs/>
        </w:rPr>
        <w:t>–</w:t>
      </w: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C5EA8">
        <w:rPr>
          <w:rFonts w:asciiTheme="minorHAnsi" w:hAnsiTheme="minorHAnsi" w:cstheme="minorHAnsi"/>
          <w:sz w:val="22"/>
          <w:szCs w:val="22"/>
        </w:rPr>
        <w:t>habeas</w:t>
      </w:r>
      <w:r w:rsidRPr="00EC5EA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C5EA8">
        <w:rPr>
          <w:rFonts w:asciiTheme="minorHAnsi" w:hAnsiTheme="minorHAnsi" w:cstheme="minorHAnsi"/>
          <w:sz w:val="22"/>
          <w:szCs w:val="22"/>
        </w:rPr>
        <w:t>corpus</w:t>
      </w:r>
    </w:p>
    <w:p w14:paraId="3B2DD6B4" w14:textId="77777777" w:rsidR="00EC5EA8" w:rsidRPr="00EC5EA8" w:rsidRDefault="00EC5EA8" w:rsidP="003A15B0">
      <w:pPr>
        <w:pStyle w:val="a0"/>
        <w:numPr>
          <w:ilvl w:val="0"/>
          <w:numId w:val="48"/>
        </w:numPr>
        <w:tabs>
          <w:tab w:val="left" w:pos="916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Загальна характеристика принципу nullum crimen, nulla poena sine lege – немає покарання без закону.</w:t>
      </w:r>
    </w:p>
    <w:p w14:paraId="6892956C" w14:textId="6E4F248D" w:rsidR="00EC5EA8" w:rsidRPr="00EC5EA8" w:rsidRDefault="00DC6A64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Чіткість (якість) закону</w:t>
      </w:r>
    </w:p>
    <w:p w14:paraId="5A7B4EDD" w14:textId="6B2BD7FC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Покарання як автономне поняття. Відмежування норм, що передбачають покарання, від процесуальних норм, що вста</w:t>
      </w:r>
      <w:r w:rsidR="00DC6A64">
        <w:rPr>
          <w:rFonts w:asciiTheme="minorHAnsi" w:hAnsiTheme="minorHAnsi" w:cstheme="minorHAnsi"/>
          <w:sz w:val="22"/>
          <w:szCs w:val="22"/>
          <w:lang w:val="uk-UA"/>
        </w:rPr>
        <w:t>новлюють порядок його виконання</w:t>
      </w:r>
    </w:p>
    <w:p w14:paraId="478D4D13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bCs/>
          <w:sz w:val="22"/>
          <w:szCs w:val="22"/>
          <w:lang w:val="uk-UA"/>
        </w:rPr>
        <w:t>Заборона застосування кримінального закону за аналогією</w:t>
      </w:r>
    </w:p>
    <w:p w14:paraId="12D2B51C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Передбачуваність закону</w:t>
      </w:r>
    </w:p>
    <w:p w14:paraId="387AB988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принципу заборони зворотної дії закону</w:t>
      </w:r>
    </w:p>
    <w:p w14:paraId="572C5F63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принципу non bis in idem – неможливість двічі притягати до відповідальності за одні й ті самі порушення</w:t>
      </w:r>
    </w:p>
    <w:p w14:paraId="5C542FA8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</w:rPr>
        <w:t>Загальні положення щодо заборони катувань</w:t>
      </w:r>
    </w:p>
    <w:p w14:paraId="24B51FF1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  <w:lang w:val="uk-UA"/>
        </w:rPr>
        <w:t>Види зобов’язань держав за ст. 3 Конвенції</w:t>
      </w:r>
    </w:p>
    <w:p w14:paraId="5397273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Три </w:t>
      </w:r>
      <w:r w:rsidRPr="00EC5EA8">
        <w:rPr>
          <w:rFonts w:asciiTheme="minorHAnsi" w:hAnsiTheme="minorHAnsi" w:cstheme="minorHAnsi"/>
          <w:bCs/>
          <w:sz w:val="22"/>
          <w:szCs w:val="22"/>
        </w:rPr>
        <w:t xml:space="preserve">категорії </w:t>
      </w:r>
      <w:r w:rsidRPr="00EC5EA8">
        <w:rPr>
          <w:rFonts w:asciiTheme="minorHAnsi" w:hAnsiTheme="minorHAnsi" w:cstheme="minorHAnsi"/>
          <w:bCs/>
          <w:sz w:val="22"/>
          <w:szCs w:val="22"/>
          <w:lang w:val="uk-UA"/>
        </w:rPr>
        <w:t>жорстокого поводження</w:t>
      </w:r>
    </w:p>
    <w:p w14:paraId="68C8011B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</w:rPr>
        <w:t xml:space="preserve">Мінімальний </w:t>
      </w:r>
      <w:proofErr w:type="gramStart"/>
      <w:r w:rsidRPr="00EC5EA8">
        <w:rPr>
          <w:rFonts w:asciiTheme="minorHAnsi" w:hAnsiTheme="minorHAnsi" w:cstheme="minorHAnsi"/>
          <w:bCs/>
          <w:sz w:val="22"/>
          <w:szCs w:val="22"/>
        </w:rPr>
        <w:t>р</w:t>
      </w:r>
      <w:proofErr w:type="gramEnd"/>
      <w:r w:rsidRPr="00EC5EA8">
        <w:rPr>
          <w:rFonts w:asciiTheme="minorHAnsi" w:hAnsiTheme="minorHAnsi" w:cstheme="minorHAnsi"/>
          <w:bCs/>
          <w:sz w:val="22"/>
          <w:szCs w:val="22"/>
        </w:rPr>
        <w:t>івень жорстокості</w:t>
      </w:r>
    </w:p>
    <w:p w14:paraId="5BDF5561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</w:rPr>
        <w:t>Типові й нетипові випадки, коли судом встановлювалися порушення статті 3 Конвенції</w:t>
      </w:r>
    </w:p>
    <w:p w14:paraId="21DB4BA6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</w:rPr>
        <w:t>Зв'язок статті 3 із іншими статтями Конвенції</w:t>
      </w:r>
    </w:p>
    <w:p w14:paraId="74F1D7DF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 xml:space="preserve">Загальна характеристика ст. 2 Конвенції та протоколів №6 та 13 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до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 xml:space="preserve"> неї</w:t>
      </w:r>
    </w:p>
    <w:p w14:paraId="7CF38B88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Заборона відступі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та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 xml:space="preserve"> застережень щодо гарантій права на життя</w:t>
      </w:r>
    </w:p>
    <w:p w14:paraId="263CD49F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Сфера застосування статті 2 Конвенції</w:t>
      </w:r>
    </w:p>
    <w:p w14:paraId="06B5A71D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Обов’язки держав за статтею 2 Конвенції</w:t>
      </w:r>
    </w:p>
    <w:p w14:paraId="01D8C4B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Мета і вимоги до ефективного розслідування</w:t>
      </w:r>
    </w:p>
    <w:p w14:paraId="73FFC818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права на свободу вираження поглядів</w:t>
      </w:r>
    </w:p>
    <w:p w14:paraId="36AC2739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Вільна преса – “вартовий пес демократії”</w:t>
      </w:r>
    </w:p>
    <w:p w14:paraId="056992D9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права на свободу мирних зібрань</w:t>
      </w:r>
    </w:p>
    <w:p w14:paraId="3E3339D7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Позитивні обовязки держави щодо захисту права на зібрання</w:t>
      </w:r>
    </w:p>
    <w:p w14:paraId="4E3ED0FC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Зв'язок прав, гарантованих ст. 10, 11 Конвенції, і заборона зловживання правами (за ст. 17 Конвенції)</w:t>
      </w:r>
    </w:p>
    <w:p w14:paraId="5AE43241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Загальна характеристика прав, гарантованих ст. 8 Конвенції</w:t>
      </w:r>
    </w:p>
    <w:p w14:paraId="7F68D83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 xml:space="preserve">Основні 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>ідходи в практиці Суду</w:t>
      </w:r>
    </w:p>
    <w:p w14:paraId="743C297F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 xml:space="preserve">Сфери, які охоплює право на повагу 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приватного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 xml:space="preserve"> життя </w:t>
      </w:r>
    </w:p>
    <w:p w14:paraId="4310D3DD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 xml:space="preserve">Аспекти, які охоплює право на повагу сімейного життя </w:t>
      </w:r>
    </w:p>
    <w:p w14:paraId="779CA052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lastRenderedPageBreak/>
        <w:t>Автономне поняття “житло” в практиці ЄСПЛ</w:t>
      </w:r>
    </w:p>
    <w:p w14:paraId="4EBF5E3A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Аспекти права на повагу до житла</w:t>
      </w:r>
    </w:p>
    <w:p w14:paraId="1E8EBB67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 xml:space="preserve">Обшуки як втручання 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в право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 xml:space="preserve"> на повагу до житла</w:t>
      </w:r>
    </w:p>
    <w:p w14:paraId="64B81A3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Інші аспекти права на повагу до житла</w:t>
      </w:r>
    </w:p>
    <w:p w14:paraId="05D26183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Право на повагу до кореспонденції</w:t>
      </w:r>
    </w:p>
    <w:p w14:paraId="72F39489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ст. 1 Першого протоколу</w:t>
      </w:r>
      <w:r w:rsidRPr="00EC5E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6439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Автономне поняття «Майно» в практиці ЄСПЛ</w:t>
      </w:r>
    </w:p>
    <w:p w14:paraId="70AB6FB0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Підхід “трьох правил” та втручання в право власності</w:t>
      </w:r>
    </w:p>
    <w:p w14:paraId="7BE8947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EC5EA8">
        <w:rPr>
          <w:rFonts w:asciiTheme="minorHAnsi" w:hAnsiTheme="minorHAnsi" w:cstheme="minorHAnsi"/>
          <w:bCs/>
          <w:sz w:val="22"/>
          <w:szCs w:val="22"/>
        </w:rPr>
        <w:t>Критерії правомірності втручання у власність</w:t>
      </w:r>
    </w:p>
    <w:p w14:paraId="249592CC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Алгоритм розгляду справ за ст.1 Протоколу 1</w:t>
      </w:r>
    </w:p>
    <w:p w14:paraId="192D5AAD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Суспільний і загальний інтерес</w:t>
      </w:r>
    </w:p>
    <w:p w14:paraId="7BFC6C0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Пропорційність (”справедливий баланс” чи “надмірний тягар”)</w:t>
      </w:r>
    </w:p>
    <w:p w14:paraId="1DC8FF78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EC5EA8">
        <w:rPr>
          <w:rFonts w:asciiTheme="minorHAnsi" w:hAnsiTheme="minorHAnsi" w:cstheme="minorHAnsi"/>
          <w:sz w:val="22"/>
          <w:szCs w:val="22"/>
        </w:rPr>
        <w:t>Стаття 1 Протоколу 1 в аспекті оподаткування</w:t>
      </w:r>
    </w:p>
    <w:p w14:paraId="42FD579D" w14:textId="0219B03F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 xml:space="preserve">Позитивні </w:t>
      </w:r>
      <w:r w:rsidR="002C68E8" w:rsidRPr="00EC5EA8">
        <w:rPr>
          <w:rFonts w:asciiTheme="minorHAnsi" w:hAnsiTheme="minorHAnsi" w:cstheme="minorHAnsi"/>
          <w:sz w:val="22"/>
          <w:szCs w:val="22"/>
          <w:lang w:val="uk-UA"/>
        </w:rPr>
        <w:t>зобов’язання</w:t>
      </w:r>
      <w:r w:rsidRPr="00EC5EA8">
        <w:rPr>
          <w:rFonts w:asciiTheme="minorHAnsi" w:hAnsiTheme="minorHAnsi" w:cstheme="minorHAnsi"/>
          <w:sz w:val="22"/>
          <w:szCs w:val="22"/>
          <w:lang w:val="uk-UA"/>
        </w:rPr>
        <w:t xml:space="preserve"> держав за ст. 1 Першого протоколу</w:t>
      </w:r>
    </w:p>
    <w:p w14:paraId="0C1704A5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Горизонтальний ефект та взаємовідносини між приватними особами</w:t>
      </w:r>
    </w:p>
    <w:p w14:paraId="6A19E2EA" w14:textId="7EBB836A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Взаємозв’язок між ст. 1 Першого проток</w:t>
      </w:r>
      <w:r w:rsidR="00DC6A64">
        <w:rPr>
          <w:rFonts w:asciiTheme="minorHAnsi" w:hAnsiTheme="minorHAnsi" w:cstheme="minorHAnsi"/>
          <w:sz w:val="22"/>
          <w:szCs w:val="22"/>
          <w:lang w:val="uk-UA"/>
        </w:rPr>
        <w:t>олу й іншими статтями Конвенції</w:t>
      </w:r>
    </w:p>
    <w:p w14:paraId="7E2314F4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Загальна характеристика статті 14 Конвенції та ст. 1 Протоколу №12 до Конвенції</w:t>
      </w:r>
    </w:p>
    <w:p w14:paraId="22E7CEB3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Особливості застосування ст. 14 Конвенції</w:t>
      </w:r>
    </w:p>
    <w:p w14:paraId="31F17ED2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Поняття дискримінації</w:t>
      </w:r>
    </w:p>
    <w:p w14:paraId="189B174E" w14:textId="77777777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  <w:lang w:val="uk-UA"/>
        </w:rPr>
        <w:t>Покроковий підхід у визначені дискримінації</w:t>
      </w:r>
    </w:p>
    <w:p w14:paraId="10D9DD16" w14:textId="11034EFD" w:rsidR="00EC5EA8" w:rsidRPr="00EC5EA8" w:rsidRDefault="00EC5EA8" w:rsidP="003A15B0">
      <w:pPr>
        <w:pStyle w:val="HTML"/>
        <w:numPr>
          <w:ilvl w:val="0"/>
          <w:numId w:val="48"/>
        </w:numPr>
        <w:shd w:val="clear" w:color="auto" w:fill="FFFFFF"/>
        <w:jc w:val="both"/>
        <w:outlineLvl w:val="0"/>
        <w:rPr>
          <w:rFonts w:asciiTheme="minorHAnsi" w:hAnsiTheme="minorHAnsi" w:cstheme="minorHAnsi"/>
          <w:sz w:val="22"/>
          <w:szCs w:val="22"/>
          <w:lang w:val="uk-UA"/>
        </w:rPr>
      </w:pPr>
      <w:r w:rsidRPr="00EC5EA8">
        <w:rPr>
          <w:rFonts w:asciiTheme="minorHAnsi" w:hAnsiTheme="minorHAnsi" w:cstheme="minorHAnsi"/>
          <w:sz w:val="22"/>
          <w:szCs w:val="22"/>
        </w:rPr>
        <w:t>Приводи (</w:t>
      </w:r>
      <w:proofErr w:type="gramStart"/>
      <w:r w:rsidRPr="00EC5EA8">
        <w:rPr>
          <w:rFonts w:asciiTheme="minorHAnsi" w:hAnsiTheme="minorHAnsi" w:cstheme="minorHAnsi"/>
          <w:sz w:val="22"/>
          <w:szCs w:val="22"/>
        </w:rPr>
        <w:t>п</w:t>
      </w:r>
      <w:proofErr w:type="gramEnd"/>
      <w:r w:rsidRPr="00EC5EA8">
        <w:rPr>
          <w:rFonts w:asciiTheme="minorHAnsi" w:hAnsiTheme="minorHAnsi" w:cstheme="minorHAnsi"/>
          <w:sz w:val="22"/>
          <w:szCs w:val="22"/>
        </w:rPr>
        <w:t>ідстави) дискримінації</w:t>
      </w:r>
      <w:r w:rsidRPr="00EC5EA8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225690DB" w14:textId="77777777" w:rsidR="00EC5EA8" w:rsidRPr="00EC5EA8" w:rsidRDefault="00EC5EA8" w:rsidP="00EC5EA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33CE81" w14:textId="77777777" w:rsidR="006C0462" w:rsidRDefault="006C046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3B4E4973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64482DF2" w14:textId="7EEA3D64" w:rsidR="00FA6FF3" w:rsidRPr="00FA6FF3" w:rsidRDefault="001D56C1" w:rsidP="00FA6FF3">
      <w:pPr>
        <w:rPr>
          <w:rFonts w:asciiTheme="minorHAnsi" w:hAnsiTheme="minorHAnsi" w:cs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FA6FF3">
        <w:rPr>
          <w:rFonts w:asciiTheme="minorHAnsi" w:hAnsiTheme="minorHAnsi"/>
          <w:sz w:val="22"/>
          <w:szCs w:val="22"/>
        </w:rPr>
        <w:t xml:space="preserve"> </w:t>
      </w:r>
      <w:r w:rsidR="00FA6FF3" w:rsidRPr="00FA6FF3">
        <w:rPr>
          <w:rFonts w:asciiTheme="minorHAnsi" w:hAnsiTheme="minorHAnsi" w:cstheme="minorHAnsi"/>
          <w:sz w:val="22"/>
          <w:szCs w:val="22"/>
        </w:rPr>
        <w:t xml:space="preserve">доктор юридичних наук, доцент, професор кафедри господарського та адміністративного права Кравчук Олексій Олегович,  </w:t>
      </w:r>
    </w:p>
    <w:p w14:paraId="75F34F0D" w14:textId="66947065" w:rsidR="00BA590A" w:rsidRPr="002C68E8" w:rsidRDefault="00FA6FF3" w:rsidP="002C68E8">
      <w:pPr>
        <w:rPr>
          <w:rFonts w:asciiTheme="minorHAnsi" w:hAnsiTheme="minorHAnsi" w:cstheme="minorHAnsi"/>
          <w:sz w:val="22"/>
          <w:szCs w:val="22"/>
        </w:rPr>
      </w:pPr>
      <w:r w:rsidRPr="00FA6FF3">
        <w:rPr>
          <w:rFonts w:asciiTheme="minorHAnsi" w:hAnsiTheme="minorHAnsi" w:cstheme="minorHAnsi"/>
          <w:sz w:val="22"/>
          <w:szCs w:val="22"/>
        </w:rPr>
        <w:t>викладач кафедри господарського та адміністративного права Кухарчук Анастасія Миколаївна</w:t>
      </w:r>
      <w:r w:rsidR="008C427E">
        <w:rPr>
          <w:rFonts w:asciiTheme="minorHAnsi" w:hAnsiTheme="minorHAnsi" w:cstheme="minorHAnsi"/>
          <w:sz w:val="22"/>
          <w:szCs w:val="22"/>
        </w:rPr>
        <w:t>.</w:t>
      </w:r>
    </w:p>
    <w:p w14:paraId="1F8B4AE5" w14:textId="77777777" w:rsidR="009D6EA8" w:rsidRDefault="009D6EA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E0B139" w14:textId="77777777" w:rsidR="00755E4D" w:rsidRPr="00755E4D" w:rsidRDefault="00755E4D" w:rsidP="00755E4D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755E4D">
        <w:rPr>
          <w:rFonts w:ascii="Arial Narrow" w:eastAsia="Calibri" w:hAnsi="Arial Narrow" w:cs="Arial"/>
          <w:b/>
          <w:bCs/>
          <w:sz w:val="24"/>
          <w:szCs w:val="24"/>
        </w:rPr>
        <w:t>Ухвалено</w:t>
      </w:r>
      <w:r w:rsidRPr="00755E4D">
        <w:rPr>
          <w:rFonts w:ascii="Arial Narrow" w:eastAsia="Calibri" w:hAnsi="Arial Narrow" w:cs="Arial"/>
          <w:sz w:val="24"/>
          <w:szCs w:val="24"/>
        </w:rPr>
        <w:t xml:space="preserve"> кафедрою </w:t>
      </w:r>
      <w:r w:rsidRPr="00755E4D">
        <w:rPr>
          <w:rFonts w:ascii="Arial Narrow" w:eastAsia="Calibri" w:hAnsi="Arial Narrow"/>
          <w:sz w:val="24"/>
          <w:szCs w:val="24"/>
          <w:lang w:val="ru-RU"/>
        </w:rPr>
        <w:t>господарського та адміністративного права</w:t>
      </w:r>
      <w:r w:rsidRPr="00755E4D">
        <w:rPr>
          <w:rFonts w:ascii="Arial Narrow" w:eastAsia="Calibri" w:hAnsi="Arial Narrow"/>
          <w:sz w:val="24"/>
          <w:szCs w:val="24"/>
        </w:rPr>
        <w:t xml:space="preserve"> (протокол № 14 від 24.06.2021р)</w:t>
      </w:r>
    </w:p>
    <w:p w14:paraId="22FB7E39" w14:textId="77777777" w:rsidR="00755E4D" w:rsidRPr="00755E4D" w:rsidRDefault="00755E4D" w:rsidP="00755E4D">
      <w:pPr>
        <w:spacing w:after="120" w:line="240" w:lineRule="auto"/>
        <w:jc w:val="both"/>
        <w:rPr>
          <w:rFonts w:ascii="Calibri" w:eastAsia="Calibri" w:hAnsi="Calibri"/>
          <w:bCs/>
          <w:sz w:val="22"/>
          <w:szCs w:val="22"/>
        </w:rPr>
      </w:pPr>
      <w:r w:rsidRPr="00755E4D">
        <w:rPr>
          <w:rFonts w:ascii="Arial Narrow" w:eastAsia="Calibri" w:hAnsi="Arial Narrow" w:cs="Arial"/>
          <w:b/>
          <w:bCs/>
          <w:sz w:val="24"/>
          <w:szCs w:val="24"/>
        </w:rPr>
        <w:t xml:space="preserve">Погоджено </w:t>
      </w:r>
      <w:r w:rsidRPr="00755E4D">
        <w:rPr>
          <w:rFonts w:ascii="Arial Narrow" w:eastAsia="Calibri" w:hAnsi="Arial Narrow" w:cs="Arial"/>
          <w:sz w:val="24"/>
          <w:szCs w:val="24"/>
        </w:rPr>
        <w:t>Методичною комісією факультету</w:t>
      </w:r>
      <w:r w:rsidRPr="00755E4D">
        <w:rPr>
          <w:rFonts w:ascii="Arial" w:eastAsia="Calibri" w:hAnsi="Arial" w:cs="Arial"/>
          <w:sz w:val="24"/>
          <w:szCs w:val="24"/>
        </w:rPr>
        <w:t xml:space="preserve"> </w:t>
      </w:r>
      <w:r w:rsidRPr="00755E4D">
        <w:rPr>
          <w:rFonts w:ascii="Arial Narrow" w:eastAsia="Calibri" w:hAnsi="Arial Narrow" w:cs="Arial"/>
          <w:sz w:val="24"/>
          <w:szCs w:val="24"/>
        </w:rPr>
        <w:t>(п</w:t>
      </w:r>
      <w:r w:rsidRPr="00755E4D">
        <w:rPr>
          <w:rFonts w:ascii="Arial Narrow" w:eastAsia="Calibri" w:hAnsi="Arial Narrow"/>
          <w:sz w:val="24"/>
          <w:szCs w:val="24"/>
        </w:rPr>
        <w:t>ротокол № 6 від 26.06.2021р.</w:t>
      </w:r>
      <w:r w:rsidRPr="00755E4D">
        <w:rPr>
          <w:rFonts w:ascii="Arial Narrow" w:eastAsia="Calibri" w:hAnsi="Arial Narrow"/>
          <w:bCs/>
          <w:sz w:val="24"/>
          <w:szCs w:val="24"/>
        </w:rPr>
        <w:t>)</w:t>
      </w:r>
    </w:p>
    <w:p w14:paraId="252444CF" w14:textId="4570A116" w:rsidR="005251A5" w:rsidRPr="0023533A" w:rsidRDefault="005251A5" w:rsidP="00755E4D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4A42" w14:textId="77777777" w:rsidR="00480DDE" w:rsidRDefault="00480DDE" w:rsidP="004E0EDF">
      <w:pPr>
        <w:spacing w:line="240" w:lineRule="auto"/>
      </w:pPr>
      <w:r>
        <w:separator/>
      </w:r>
    </w:p>
  </w:endnote>
  <w:endnote w:type="continuationSeparator" w:id="0">
    <w:p w14:paraId="493A21A0" w14:textId="77777777" w:rsidR="00480DDE" w:rsidRDefault="00480DD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E3D91" w14:textId="77777777" w:rsidR="00480DDE" w:rsidRDefault="00480DDE" w:rsidP="004E0EDF">
      <w:pPr>
        <w:spacing w:line="240" w:lineRule="auto"/>
      </w:pPr>
      <w:r>
        <w:separator/>
      </w:r>
    </w:p>
  </w:footnote>
  <w:footnote w:type="continuationSeparator" w:id="0">
    <w:p w14:paraId="37510461" w14:textId="77777777" w:rsidR="00480DDE" w:rsidRDefault="00480DD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5B"/>
    <w:multiLevelType w:val="hybridMultilevel"/>
    <w:tmpl w:val="C3DC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204"/>
    <w:multiLevelType w:val="hybridMultilevel"/>
    <w:tmpl w:val="99A4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6C83"/>
    <w:multiLevelType w:val="hybridMultilevel"/>
    <w:tmpl w:val="2E28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181"/>
    <w:multiLevelType w:val="hybridMultilevel"/>
    <w:tmpl w:val="6C6A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2721"/>
    <w:multiLevelType w:val="hybridMultilevel"/>
    <w:tmpl w:val="33362844"/>
    <w:lvl w:ilvl="0" w:tplc="2A52F1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8A70A7"/>
    <w:multiLevelType w:val="hybridMultilevel"/>
    <w:tmpl w:val="D8BC1E00"/>
    <w:lvl w:ilvl="0" w:tplc="26F621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1529AD"/>
    <w:multiLevelType w:val="hybridMultilevel"/>
    <w:tmpl w:val="908CB4C6"/>
    <w:lvl w:ilvl="0" w:tplc="4F1441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DF0729"/>
    <w:multiLevelType w:val="hybridMultilevel"/>
    <w:tmpl w:val="BA28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D3010E"/>
    <w:multiLevelType w:val="hybridMultilevel"/>
    <w:tmpl w:val="2936845C"/>
    <w:lvl w:ilvl="0" w:tplc="55D07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A77F8"/>
    <w:multiLevelType w:val="hybridMultilevel"/>
    <w:tmpl w:val="4DF6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7C5B"/>
    <w:multiLevelType w:val="hybridMultilevel"/>
    <w:tmpl w:val="FD88DA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0426694"/>
    <w:multiLevelType w:val="hybridMultilevel"/>
    <w:tmpl w:val="19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D25D9"/>
    <w:multiLevelType w:val="hybridMultilevel"/>
    <w:tmpl w:val="FDAAFECE"/>
    <w:lvl w:ilvl="0" w:tplc="D9C86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7B5872"/>
    <w:multiLevelType w:val="hybridMultilevel"/>
    <w:tmpl w:val="9F14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C12A16"/>
    <w:multiLevelType w:val="hybridMultilevel"/>
    <w:tmpl w:val="0F5E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52D79"/>
    <w:multiLevelType w:val="hybridMultilevel"/>
    <w:tmpl w:val="FDAAFECE"/>
    <w:lvl w:ilvl="0" w:tplc="D9C86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B2D95"/>
    <w:multiLevelType w:val="hybridMultilevel"/>
    <w:tmpl w:val="9398CDD8"/>
    <w:lvl w:ilvl="0" w:tplc="CEA071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1AD2924"/>
    <w:multiLevelType w:val="hybridMultilevel"/>
    <w:tmpl w:val="2738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40DD5"/>
    <w:multiLevelType w:val="hybridMultilevel"/>
    <w:tmpl w:val="A5D66FD4"/>
    <w:lvl w:ilvl="0" w:tplc="9E548A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DD6FFF"/>
    <w:multiLevelType w:val="hybridMultilevel"/>
    <w:tmpl w:val="117AEC00"/>
    <w:lvl w:ilvl="0" w:tplc="5F22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D92680"/>
    <w:multiLevelType w:val="hybridMultilevel"/>
    <w:tmpl w:val="FD4A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204E7"/>
    <w:multiLevelType w:val="multilevel"/>
    <w:tmpl w:val="E1562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35AA6BA6"/>
    <w:multiLevelType w:val="hybridMultilevel"/>
    <w:tmpl w:val="0680A47C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361920C0"/>
    <w:multiLevelType w:val="hybridMultilevel"/>
    <w:tmpl w:val="431A9352"/>
    <w:lvl w:ilvl="0" w:tplc="551699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663DC"/>
    <w:multiLevelType w:val="hybridMultilevel"/>
    <w:tmpl w:val="366403FA"/>
    <w:lvl w:ilvl="0" w:tplc="6F685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5910D0"/>
    <w:multiLevelType w:val="hybridMultilevel"/>
    <w:tmpl w:val="BA002840"/>
    <w:lvl w:ilvl="0" w:tplc="1ABCEA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946414"/>
    <w:multiLevelType w:val="hybridMultilevel"/>
    <w:tmpl w:val="46A6DE7A"/>
    <w:lvl w:ilvl="0" w:tplc="14BA9F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4C50BB6"/>
    <w:multiLevelType w:val="hybridMultilevel"/>
    <w:tmpl w:val="951CC9B0"/>
    <w:lvl w:ilvl="0" w:tplc="58D43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9B138A"/>
    <w:multiLevelType w:val="hybridMultilevel"/>
    <w:tmpl w:val="623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D5F13"/>
    <w:multiLevelType w:val="hybridMultilevel"/>
    <w:tmpl w:val="470AB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45F81"/>
    <w:multiLevelType w:val="hybridMultilevel"/>
    <w:tmpl w:val="CCB864B6"/>
    <w:lvl w:ilvl="0" w:tplc="FEC6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876C4"/>
    <w:multiLevelType w:val="hybridMultilevel"/>
    <w:tmpl w:val="1A407742"/>
    <w:lvl w:ilvl="0" w:tplc="ADF87D8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FBC236B"/>
    <w:multiLevelType w:val="hybridMultilevel"/>
    <w:tmpl w:val="2508F546"/>
    <w:lvl w:ilvl="0" w:tplc="10303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92B49"/>
    <w:multiLevelType w:val="hybridMultilevel"/>
    <w:tmpl w:val="9C3402B4"/>
    <w:lvl w:ilvl="0" w:tplc="D77AFE8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5280359D"/>
    <w:multiLevelType w:val="hybridMultilevel"/>
    <w:tmpl w:val="026C28CE"/>
    <w:lvl w:ilvl="0" w:tplc="6DA0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3C71C5"/>
    <w:multiLevelType w:val="hybridMultilevel"/>
    <w:tmpl w:val="6BEC964A"/>
    <w:lvl w:ilvl="0" w:tplc="2E942D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4630FA5"/>
    <w:multiLevelType w:val="hybridMultilevel"/>
    <w:tmpl w:val="D32AA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65119A0"/>
    <w:multiLevelType w:val="hybridMultilevel"/>
    <w:tmpl w:val="FFC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A4D98"/>
    <w:multiLevelType w:val="hybridMultilevel"/>
    <w:tmpl w:val="339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241ED"/>
    <w:multiLevelType w:val="hybridMultilevel"/>
    <w:tmpl w:val="C1B823DA"/>
    <w:lvl w:ilvl="0" w:tplc="B0427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01346A"/>
    <w:multiLevelType w:val="hybridMultilevel"/>
    <w:tmpl w:val="064E2B08"/>
    <w:lvl w:ilvl="0" w:tplc="1AE657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F0341DD"/>
    <w:multiLevelType w:val="hybridMultilevel"/>
    <w:tmpl w:val="E48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0352F"/>
    <w:multiLevelType w:val="hybridMultilevel"/>
    <w:tmpl w:val="72F0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A83CA9"/>
    <w:multiLevelType w:val="hybridMultilevel"/>
    <w:tmpl w:val="B2785AAA"/>
    <w:lvl w:ilvl="0" w:tplc="7AFC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644678"/>
    <w:multiLevelType w:val="hybridMultilevel"/>
    <w:tmpl w:val="0598EAE6"/>
    <w:lvl w:ilvl="0" w:tplc="083C5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262E8"/>
    <w:multiLevelType w:val="hybridMultilevel"/>
    <w:tmpl w:val="09D8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264DE"/>
    <w:multiLevelType w:val="hybridMultilevel"/>
    <w:tmpl w:val="0A304A18"/>
    <w:lvl w:ilvl="0" w:tplc="5EB47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B6A6E9D"/>
    <w:multiLevelType w:val="hybridMultilevel"/>
    <w:tmpl w:val="249CD6A8"/>
    <w:lvl w:ilvl="0" w:tplc="667ABD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BC04BFF"/>
    <w:multiLevelType w:val="hybridMultilevel"/>
    <w:tmpl w:val="74AA3F6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EE6C72"/>
    <w:multiLevelType w:val="hybridMultilevel"/>
    <w:tmpl w:val="835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950E2"/>
    <w:multiLevelType w:val="hybridMultilevel"/>
    <w:tmpl w:val="CC1E555E"/>
    <w:lvl w:ilvl="0" w:tplc="6278F23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D4347C"/>
    <w:multiLevelType w:val="hybridMultilevel"/>
    <w:tmpl w:val="682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"/>
  </w:num>
  <w:num w:numId="3">
    <w:abstractNumId w:val="14"/>
  </w:num>
  <w:num w:numId="4">
    <w:abstractNumId w:val="8"/>
  </w:num>
  <w:num w:numId="5">
    <w:abstractNumId w:val="23"/>
  </w:num>
  <w:num w:numId="6">
    <w:abstractNumId w:val="20"/>
  </w:num>
  <w:num w:numId="7">
    <w:abstractNumId w:val="41"/>
  </w:num>
  <w:num w:numId="8">
    <w:abstractNumId w:val="15"/>
  </w:num>
  <w:num w:numId="9">
    <w:abstractNumId w:val="52"/>
  </w:num>
  <w:num w:numId="10">
    <w:abstractNumId w:val="12"/>
  </w:num>
  <w:num w:numId="11">
    <w:abstractNumId w:val="16"/>
  </w:num>
  <w:num w:numId="12">
    <w:abstractNumId w:val="54"/>
  </w:num>
  <w:num w:numId="13">
    <w:abstractNumId w:val="10"/>
  </w:num>
  <w:num w:numId="14">
    <w:abstractNumId w:val="9"/>
  </w:num>
  <w:num w:numId="15">
    <w:abstractNumId w:val="35"/>
  </w:num>
  <w:num w:numId="16">
    <w:abstractNumId w:val="5"/>
  </w:num>
  <w:num w:numId="17">
    <w:abstractNumId w:val="1"/>
  </w:num>
  <w:num w:numId="18">
    <w:abstractNumId w:val="25"/>
  </w:num>
  <w:num w:numId="19">
    <w:abstractNumId w:val="42"/>
  </w:num>
  <w:num w:numId="20">
    <w:abstractNumId w:val="43"/>
  </w:num>
  <w:num w:numId="21">
    <w:abstractNumId w:val="45"/>
  </w:num>
  <w:num w:numId="22">
    <w:abstractNumId w:val="33"/>
  </w:num>
  <w:num w:numId="23">
    <w:abstractNumId w:val="46"/>
  </w:num>
  <w:num w:numId="24">
    <w:abstractNumId w:val="22"/>
  </w:num>
  <w:num w:numId="25">
    <w:abstractNumId w:val="29"/>
  </w:num>
  <w:num w:numId="26">
    <w:abstractNumId w:val="0"/>
  </w:num>
  <w:num w:numId="27">
    <w:abstractNumId w:val="47"/>
  </w:num>
  <w:num w:numId="28">
    <w:abstractNumId w:val="39"/>
  </w:num>
  <w:num w:numId="29">
    <w:abstractNumId w:val="40"/>
  </w:num>
  <w:num w:numId="30">
    <w:abstractNumId w:val="32"/>
  </w:num>
  <w:num w:numId="31">
    <w:abstractNumId w:val="53"/>
  </w:num>
  <w:num w:numId="32">
    <w:abstractNumId w:val="27"/>
  </w:num>
  <w:num w:numId="33">
    <w:abstractNumId w:val="34"/>
  </w:num>
  <w:num w:numId="34">
    <w:abstractNumId w:val="36"/>
  </w:num>
  <w:num w:numId="35">
    <w:abstractNumId w:val="19"/>
  </w:num>
  <w:num w:numId="36">
    <w:abstractNumId w:val="21"/>
  </w:num>
  <w:num w:numId="37">
    <w:abstractNumId w:val="48"/>
  </w:num>
  <w:num w:numId="38">
    <w:abstractNumId w:val="6"/>
  </w:num>
  <w:num w:numId="39">
    <w:abstractNumId w:val="26"/>
  </w:num>
  <w:num w:numId="40">
    <w:abstractNumId w:val="30"/>
  </w:num>
  <w:num w:numId="41">
    <w:abstractNumId w:val="17"/>
  </w:num>
  <w:num w:numId="42">
    <w:abstractNumId w:val="13"/>
  </w:num>
  <w:num w:numId="43">
    <w:abstractNumId w:val="3"/>
  </w:num>
  <w:num w:numId="44">
    <w:abstractNumId w:val="49"/>
  </w:num>
  <w:num w:numId="45">
    <w:abstractNumId w:val="38"/>
  </w:num>
  <w:num w:numId="46">
    <w:abstractNumId w:val="44"/>
  </w:num>
  <w:num w:numId="47">
    <w:abstractNumId w:val="18"/>
  </w:num>
  <w:num w:numId="48">
    <w:abstractNumId w:val="31"/>
  </w:num>
  <w:num w:numId="49">
    <w:abstractNumId w:val="37"/>
  </w:num>
  <w:num w:numId="50">
    <w:abstractNumId w:val="4"/>
  </w:num>
  <w:num w:numId="51">
    <w:abstractNumId w:val="28"/>
  </w:num>
  <w:num w:numId="52">
    <w:abstractNumId w:val="11"/>
  </w:num>
  <w:num w:numId="53">
    <w:abstractNumId w:val="50"/>
  </w:num>
  <w:num w:numId="54">
    <w:abstractNumId w:val="2"/>
  </w:num>
  <w:num w:numId="55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910"/>
    <w:rsid w:val="000710BB"/>
    <w:rsid w:val="00087AFC"/>
    <w:rsid w:val="000B1378"/>
    <w:rsid w:val="000C40A0"/>
    <w:rsid w:val="000D1F73"/>
    <w:rsid w:val="000D3187"/>
    <w:rsid w:val="000E48E2"/>
    <w:rsid w:val="000E7995"/>
    <w:rsid w:val="000F01A9"/>
    <w:rsid w:val="00113864"/>
    <w:rsid w:val="00133262"/>
    <w:rsid w:val="001435BE"/>
    <w:rsid w:val="00154F54"/>
    <w:rsid w:val="00155301"/>
    <w:rsid w:val="0016619F"/>
    <w:rsid w:val="001943AA"/>
    <w:rsid w:val="001A38B8"/>
    <w:rsid w:val="001B2EA9"/>
    <w:rsid w:val="001B6A6C"/>
    <w:rsid w:val="001D56C1"/>
    <w:rsid w:val="001F542A"/>
    <w:rsid w:val="001F67C9"/>
    <w:rsid w:val="002143BE"/>
    <w:rsid w:val="0023533A"/>
    <w:rsid w:val="0024717A"/>
    <w:rsid w:val="00252850"/>
    <w:rsid w:val="00253BCC"/>
    <w:rsid w:val="00270675"/>
    <w:rsid w:val="002B5F16"/>
    <w:rsid w:val="002C2D02"/>
    <w:rsid w:val="002C68E8"/>
    <w:rsid w:val="002D1682"/>
    <w:rsid w:val="002F16AE"/>
    <w:rsid w:val="0030530B"/>
    <w:rsid w:val="00306C33"/>
    <w:rsid w:val="00307FF7"/>
    <w:rsid w:val="003555EA"/>
    <w:rsid w:val="0038420A"/>
    <w:rsid w:val="003A15B0"/>
    <w:rsid w:val="003A21CA"/>
    <w:rsid w:val="003C1370"/>
    <w:rsid w:val="003C70D8"/>
    <w:rsid w:val="003D35CF"/>
    <w:rsid w:val="003F0A41"/>
    <w:rsid w:val="003F0D63"/>
    <w:rsid w:val="00405C9F"/>
    <w:rsid w:val="004134AC"/>
    <w:rsid w:val="00431246"/>
    <w:rsid w:val="004442EE"/>
    <w:rsid w:val="00447744"/>
    <w:rsid w:val="0046632F"/>
    <w:rsid w:val="00476100"/>
    <w:rsid w:val="00480DDE"/>
    <w:rsid w:val="00494B8C"/>
    <w:rsid w:val="0049788D"/>
    <w:rsid w:val="004A6336"/>
    <w:rsid w:val="004B19B5"/>
    <w:rsid w:val="004C1CA2"/>
    <w:rsid w:val="004D1575"/>
    <w:rsid w:val="004E0EDF"/>
    <w:rsid w:val="004F65A1"/>
    <w:rsid w:val="004F6918"/>
    <w:rsid w:val="005111B5"/>
    <w:rsid w:val="005251A5"/>
    <w:rsid w:val="00530BFF"/>
    <w:rsid w:val="005413FF"/>
    <w:rsid w:val="0054477B"/>
    <w:rsid w:val="00556E26"/>
    <w:rsid w:val="00562877"/>
    <w:rsid w:val="00592A9C"/>
    <w:rsid w:val="005D764D"/>
    <w:rsid w:val="005F22DC"/>
    <w:rsid w:val="005F4692"/>
    <w:rsid w:val="006146FB"/>
    <w:rsid w:val="006757B0"/>
    <w:rsid w:val="006C0462"/>
    <w:rsid w:val="006E07FE"/>
    <w:rsid w:val="006E65B0"/>
    <w:rsid w:val="006F5C29"/>
    <w:rsid w:val="00714AB2"/>
    <w:rsid w:val="007244E1"/>
    <w:rsid w:val="00744B48"/>
    <w:rsid w:val="00755E4D"/>
    <w:rsid w:val="00760FD5"/>
    <w:rsid w:val="00773010"/>
    <w:rsid w:val="007758E6"/>
    <w:rsid w:val="0077700A"/>
    <w:rsid w:val="0078463D"/>
    <w:rsid w:val="00791855"/>
    <w:rsid w:val="007E3190"/>
    <w:rsid w:val="007E7F74"/>
    <w:rsid w:val="007F7C45"/>
    <w:rsid w:val="008175C6"/>
    <w:rsid w:val="00832CCE"/>
    <w:rsid w:val="00860C47"/>
    <w:rsid w:val="00880FD0"/>
    <w:rsid w:val="00894491"/>
    <w:rsid w:val="008A03A1"/>
    <w:rsid w:val="008A4024"/>
    <w:rsid w:val="008B16FE"/>
    <w:rsid w:val="008B4DE6"/>
    <w:rsid w:val="008C427E"/>
    <w:rsid w:val="008D1B2D"/>
    <w:rsid w:val="008D493C"/>
    <w:rsid w:val="008E353D"/>
    <w:rsid w:val="008E5CC0"/>
    <w:rsid w:val="00903677"/>
    <w:rsid w:val="009246C5"/>
    <w:rsid w:val="00941384"/>
    <w:rsid w:val="0095385A"/>
    <w:rsid w:val="00962C2E"/>
    <w:rsid w:val="00994640"/>
    <w:rsid w:val="009B2DDB"/>
    <w:rsid w:val="009D5DF1"/>
    <w:rsid w:val="009D6EA8"/>
    <w:rsid w:val="009F69B9"/>
    <w:rsid w:val="009F751E"/>
    <w:rsid w:val="00A07857"/>
    <w:rsid w:val="00A2464E"/>
    <w:rsid w:val="00A2798C"/>
    <w:rsid w:val="00A336AF"/>
    <w:rsid w:val="00A41A78"/>
    <w:rsid w:val="00A7032F"/>
    <w:rsid w:val="00A90398"/>
    <w:rsid w:val="00A9350F"/>
    <w:rsid w:val="00A95701"/>
    <w:rsid w:val="00AA6B23"/>
    <w:rsid w:val="00AB05C9"/>
    <w:rsid w:val="00AD5593"/>
    <w:rsid w:val="00AE3C40"/>
    <w:rsid w:val="00AE41A6"/>
    <w:rsid w:val="00B20824"/>
    <w:rsid w:val="00B22E57"/>
    <w:rsid w:val="00B40317"/>
    <w:rsid w:val="00B47838"/>
    <w:rsid w:val="00B63A5F"/>
    <w:rsid w:val="00BA0AFC"/>
    <w:rsid w:val="00BA590A"/>
    <w:rsid w:val="00BC3192"/>
    <w:rsid w:val="00BE1476"/>
    <w:rsid w:val="00BE2BB1"/>
    <w:rsid w:val="00BF04A4"/>
    <w:rsid w:val="00C21928"/>
    <w:rsid w:val="00C301EF"/>
    <w:rsid w:val="00C32BA6"/>
    <w:rsid w:val="00C42A21"/>
    <w:rsid w:val="00C55C12"/>
    <w:rsid w:val="00CE6146"/>
    <w:rsid w:val="00CF30AA"/>
    <w:rsid w:val="00CF497D"/>
    <w:rsid w:val="00D00E22"/>
    <w:rsid w:val="00D01984"/>
    <w:rsid w:val="00D05879"/>
    <w:rsid w:val="00D05D4D"/>
    <w:rsid w:val="00D2172D"/>
    <w:rsid w:val="00D31D22"/>
    <w:rsid w:val="00D41DCE"/>
    <w:rsid w:val="00D525C0"/>
    <w:rsid w:val="00D82DA7"/>
    <w:rsid w:val="00D92509"/>
    <w:rsid w:val="00DC04DC"/>
    <w:rsid w:val="00DC6A64"/>
    <w:rsid w:val="00E0088D"/>
    <w:rsid w:val="00E06AC5"/>
    <w:rsid w:val="00E07455"/>
    <w:rsid w:val="00E17713"/>
    <w:rsid w:val="00E45DE8"/>
    <w:rsid w:val="00EA0EB9"/>
    <w:rsid w:val="00EB4F56"/>
    <w:rsid w:val="00EC5302"/>
    <w:rsid w:val="00EC5EA8"/>
    <w:rsid w:val="00EE26BE"/>
    <w:rsid w:val="00F162DC"/>
    <w:rsid w:val="00F20DC3"/>
    <w:rsid w:val="00F25DB2"/>
    <w:rsid w:val="00F34119"/>
    <w:rsid w:val="00F51B26"/>
    <w:rsid w:val="00F66D1F"/>
    <w:rsid w:val="00F677B9"/>
    <w:rsid w:val="00F77E2B"/>
    <w:rsid w:val="00F95D78"/>
    <w:rsid w:val="00FA6FF3"/>
    <w:rsid w:val="00FA7632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Plain Text"/>
    <w:basedOn w:val="a"/>
    <w:link w:val="af2"/>
    <w:rsid w:val="002143BE"/>
    <w:pPr>
      <w:spacing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2143BE"/>
    <w:rPr>
      <w:rFonts w:ascii="Courier New" w:hAnsi="Courier New"/>
      <w:lang w:val="uk-UA"/>
    </w:rPr>
  </w:style>
  <w:style w:type="paragraph" w:styleId="af3">
    <w:name w:val="Body Text"/>
    <w:basedOn w:val="a"/>
    <w:link w:val="af4"/>
    <w:rsid w:val="002143BE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2143BE"/>
    <w:rPr>
      <w:rFonts w:ascii="Arial" w:hAnsi="Arial" w:cs="Arial"/>
      <w:bCs/>
      <w:sz w:val="24"/>
      <w:lang w:val="uk-UA"/>
    </w:rPr>
  </w:style>
  <w:style w:type="character" w:customStyle="1" w:styleId="apple-converted-space">
    <w:name w:val="apple-converted-space"/>
    <w:basedOn w:val="a1"/>
    <w:rsid w:val="002143BE"/>
  </w:style>
  <w:style w:type="character" w:customStyle="1" w:styleId="rvts44">
    <w:name w:val="rvts44"/>
    <w:basedOn w:val="a1"/>
    <w:rsid w:val="002143BE"/>
  </w:style>
  <w:style w:type="paragraph" w:styleId="af5">
    <w:name w:val="Body Text Indent"/>
    <w:basedOn w:val="a"/>
    <w:link w:val="af6"/>
    <w:semiHidden/>
    <w:unhideWhenUsed/>
    <w:rsid w:val="008B4DE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semiHidden/>
    <w:rsid w:val="008B4DE6"/>
    <w:rPr>
      <w:rFonts w:eastAsiaTheme="minorHAnsi"/>
      <w:sz w:val="28"/>
      <w:szCs w:val="28"/>
      <w:lang w:val="uk-UA" w:eastAsia="en-US"/>
    </w:rPr>
  </w:style>
  <w:style w:type="paragraph" w:styleId="2">
    <w:name w:val="Body Text 2"/>
    <w:basedOn w:val="a"/>
    <w:link w:val="20"/>
    <w:unhideWhenUsed/>
    <w:rsid w:val="008B4DE6"/>
    <w:pPr>
      <w:spacing w:after="120" w:line="480" w:lineRule="auto"/>
      <w:ind w:firstLine="426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8B4DE6"/>
    <w:rPr>
      <w:sz w:val="24"/>
      <w:lang w:val="uk-UA"/>
    </w:rPr>
  </w:style>
  <w:style w:type="paragraph" w:customStyle="1" w:styleId="af7">
    <w:name w:val="Готовый"/>
    <w:basedOn w:val="a"/>
    <w:rsid w:val="008B4D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val="ru-RU" w:eastAsia="ru-RU"/>
    </w:rPr>
  </w:style>
  <w:style w:type="paragraph" w:customStyle="1" w:styleId="041E0441043D04420435043A044104420443043A0440">
    <w:name w:val="&lt;041E&gt;&lt;0441&gt;&lt;043D&gt;. &lt;0442&gt;&lt;0435&gt;&lt;043A&gt;&lt;0441&gt;&lt;0442&gt; &lt;0443&gt;&lt;043A&gt;&lt;0440&gt;"/>
    <w:basedOn w:val="a"/>
    <w:rsid w:val="008B4DE6"/>
    <w:pPr>
      <w:tabs>
        <w:tab w:val="left" w:pos="560"/>
      </w:tabs>
      <w:autoSpaceDE w:val="0"/>
      <w:autoSpaceDN w:val="0"/>
      <w:adjustRightInd w:val="0"/>
      <w:spacing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2"/>
      <w:szCs w:val="22"/>
      <w:lang w:eastAsia="uk-UA"/>
    </w:rPr>
  </w:style>
  <w:style w:type="character" w:customStyle="1" w:styleId="af8">
    <w:name w:val="Основний текст_"/>
    <w:basedOn w:val="a1"/>
    <w:link w:val="af9"/>
    <w:uiPriority w:val="99"/>
    <w:rsid w:val="00CE6146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af9">
    <w:name w:val="Основний текст"/>
    <w:basedOn w:val="a"/>
    <w:link w:val="af8"/>
    <w:uiPriority w:val="99"/>
    <w:rsid w:val="00CE6146"/>
    <w:pPr>
      <w:widowControl w:val="0"/>
      <w:shd w:val="clear" w:color="auto" w:fill="FFFFFF"/>
      <w:spacing w:after="60" w:line="240" w:lineRule="atLeast"/>
      <w:jc w:val="both"/>
    </w:pPr>
    <w:rPr>
      <w:rFonts w:ascii="Calibri" w:eastAsia="Times New Roman" w:hAnsi="Calibri" w:cs="Calibri"/>
      <w:spacing w:val="3"/>
      <w:sz w:val="19"/>
      <w:szCs w:val="19"/>
      <w:lang w:val="ru-RU" w:eastAsia="ru-RU"/>
    </w:rPr>
  </w:style>
  <w:style w:type="paragraph" w:styleId="HTML">
    <w:name w:val="HTML Preformatted"/>
    <w:basedOn w:val="a"/>
    <w:link w:val="HTML0"/>
    <w:uiPriority w:val="99"/>
    <w:rsid w:val="00405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05C9F"/>
    <w:rPr>
      <w:rFonts w:ascii="Courier New" w:hAnsi="Courier New" w:cs="Courier New"/>
    </w:rPr>
  </w:style>
  <w:style w:type="character" w:styleId="afa">
    <w:name w:val="Emphasis"/>
    <w:basedOn w:val="a1"/>
    <w:uiPriority w:val="20"/>
    <w:qFormat/>
    <w:rsid w:val="00405C9F"/>
    <w:rPr>
      <w:i/>
      <w:iCs/>
    </w:rPr>
  </w:style>
  <w:style w:type="paragraph" w:customStyle="1" w:styleId="12">
    <w:name w:val="Абзац списка1"/>
    <w:basedOn w:val="a"/>
    <w:qFormat/>
    <w:rsid w:val="008175C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9">
    <w:name w:val="rvts9"/>
    <w:rsid w:val="008175C6"/>
  </w:style>
  <w:style w:type="paragraph" w:styleId="3">
    <w:name w:val="Body Text 3"/>
    <w:basedOn w:val="a"/>
    <w:link w:val="30"/>
    <w:unhideWhenUsed/>
    <w:rsid w:val="006C04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6C0462"/>
    <w:rPr>
      <w:rFonts w:eastAsiaTheme="minorHAnsi"/>
      <w:sz w:val="16"/>
      <w:szCs w:val="16"/>
      <w:lang w:val="uk-UA" w:eastAsia="en-US"/>
    </w:rPr>
  </w:style>
  <w:style w:type="paragraph" w:customStyle="1" w:styleId="21">
    <w:name w:val="Абзац списка2"/>
    <w:basedOn w:val="a"/>
    <w:rsid w:val="00133262"/>
    <w:pPr>
      <w:spacing w:after="200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afb">
    <w:name w:val="Таблиця"/>
    <w:basedOn w:val="a"/>
    <w:link w:val="afc"/>
    <w:qFormat/>
    <w:rsid w:val="002B5F16"/>
    <w:pPr>
      <w:spacing w:line="240" w:lineRule="auto"/>
      <w:jc w:val="both"/>
    </w:pPr>
    <w:rPr>
      <w:rFonts w:eastAsia="Calibri"/>
      <w:sz w:val="24"/>
      <w:szCs w:val="24"/>
    </w:rPr>
  </w:style>
  <w:style w:type="character" w:customStyle="1" w:styleId="afc">
    <w:name w:val="Таблиця Знак"/>
    <w:link w:val="afb"/>
    <w:rsid w:val="002B5F16"/>
    <w:rPr>
      <w:rFonts w:eastAsia="Calibri"/>
      <w:sz w:val="24"/>
      <w:szCs w:val="24"/>
      <w:lang w:val="uk-UA" w:eastAsia="en-US"/>
    </w:rPr>
  </w:style>
  <w:style w:type="paragraph" w:customStyle="1" w:styleId="Default">
    <w:name w:val="Default"/>
    <w:rsid w:val="00A703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Plain Text"/>
    <w:basedOn w:val="a"/>
    <w:link w:val="af2"/>
    <w:rsid w:val="002143BE"/>
    <w:pPr>
      <w:spacing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2143BE"/>
    <w:rPr>
      <w:rFonts w:ascii="Courier New" w:hAnsi="Courier New"/>
      <w:lang w:val="uk-UA"/>
    </w:rPr>
  </w:style>
  <w:style w:type="paragraph" w:styleId="af3">
    <w:name w:val="Body Text"/>
    <w:basedOn w:val="a"/>
    <w:link w:val="af4"/>
    <w:rsid w:val="002143BE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2143BE"/>
    <w:rPr>
      <w:rFonts w:ascii="Arial" w:hAnsi="Arial" w:cs="Arial"/>
      <w:bCs/>
      <w:sz w:val="24"/>
      <w:lang w:val="uk-UA"/>
    </w:rPr>
  </w:style>
  <w:style w:type="character" w:customStyle="1" w:styleId="apple-converted-space">
    <w:name w:val="apple-converted-space"/>
    <w:basedOn w:val="a1"/>
    <w:rsid w:val="002143BE"/>
  </w:style>
  <w:style w:type="character" w:customStyle="1" w:styleId="rvts44">
    <w:name w:val="rvts44"/>
    <w:basedOn w:val="a1"/>
    <w:rsid w:val="002143BE"/>
  </w:style>
  <w:style w:type="paragraph" w:styleId="af5">
    <w:name w:val="Body Text Indent"/>
    <w:basedOn w:val="a"/>
    <w:link w:val="af6"/>
    <w:semiHidden/>
    <w:unhideWhenUsed/>
    <w:rsid w:val="008B4DE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semiHidden/>
    <w:rsid w:val="008B4DE6"/>
    <w:rPr>
      <w:rFonts w:eastAsiaTheme="minorHAnsi"/>
      <w:sz w:val="28"/>
      <w:szCs w:val="28"/>
      <w:lang w:val="uk-UA" w:eastAsia="en-US"/>
    </w:rPr>
  </w:style>
  <w:style w:type="paragraph" w:styleId="2">
    <w:name w:val="Body Text 2"/>
    <w:basedOn w:val="a"/>
    <w:link w:val="20"/>
    <w:unhideWhenUsed/>
    <w:rsid w:val="008B4DE6"/>
    <w:pPr>
      <w:spacing w:after="120" w:line="480" w:lineRule="auto"/>
      <w:ind w:firstLine="426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8B4DE6"/>
    <w:rPr>
      <w:sz w:val="24"/>
      <w:lang w:val="uk-UA"/>
    </w:rPr>
  </w:style>
  <w:style w:type="paragraph" w:customStyle="1" w:styleId="af7">
    <w:name w:val="Готовый"/>
    <w:basedOn w:val="a"/>
    <w:rsid w:val="008B4D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val="ru-RU" w:eastAsia="ru-RU"/>
    </w:rPr>
  </w:style>
  <w:style w:type="paragraph" w:customStyle="1" w:styleId="041E0441043D04420435043A044104420443043A0440">
    <w:name w:val="&lt;041E&gt;&lt;0441&gt;&lt;043D&gt;. &lt;0442&gt;&lt;0435&gt;&lt;043A&gt;&lt;0441&gt;&lt;0442&gt; &lt;0443&gt;&lt;043A&gt;&lt;0440&gt;"/>
    <w:basedOn w:val="a"/>
    <w:rsid w:val="008B4DE6"/>
    <w:pPr>
      <w:tabs>
        <w:tab w:val="left" w:pos="560"/>
      </w:tabs>
      <w:autoSpaceDE w:val="0"/>
      <w:autoSpaceDN w:val="0"/>
      <w:adjustRightInd w:val="0"/>
      <w:spacing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2"/>
      <w:szCs w:val="22"/>
      <w:lang w:eastAsia="uk-UA"/>
    </w:rPr>
  </w:style>
  <w:style w:type="character" w:customStyle="1" w:styleId="af8">
    <w:name w:val="Основний текст_"/>
    <w:basedOn w:val="a1"/>
    <w:link w:val="af9"/>
    <w:uiPriority w:val="99"/>
    <w:rsid w:val="00CE6146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af9">
    <w:name w:val="Основний текст"/>
    <w:basedOn w:val="a"/>
    <w:link w:val="af8"/>
    <w:uiPriority w:val="99"/>
    <w:rsid w:val="00CE6146"/>
    <w:pPr>
      <w:widowControl w:val="0"/>
      <w:shd w:val="clear" w:color="auto" w:fill="FFFFFF"/>
      <w:spacing w:after="60" w:line="240" w:lineRule="atLeast"/>
      <w:jc w:val="both"/>
    </w:pPr>
    <w:rPr>
      <w:rFonts w:ascii="Calibri" w:eastAsia="Times New Roman" w:hAnsi="Calibri" w:cs="Calibri"/>
      <w:spacing w:val="3"/>
      <w:sz w:val="19"/>
      <w:szCs w:val="19"/>
      <w:lang w:val="ru-RU" w:eastAsia="ru-RU"/>
    </w:rPr>
  </w:style>
  <w:style w:type="paragraph" w:styleId="HTML">
    <w:name w:val="HTML Preformatted"/>
    <w:basedOn w:val="a"/>
    <w:link w:val="HTML0"/>
    <w:uiPriority w:val="99"/>
    <w:rsid w:val="00405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05C9F"/>
    <w:rPr>
      <w:rFonts w:ascii="Courier New" w:hAnsi="Courier New" w:cs="Courier New"/>
    </w:rPr>
  </w:style>
  <w:style w:type="character" w:styleId="afa">
    <w:name w:val="Emphasis"/>
    <w:basedOn w:val="a1"/>
    <w:uiPriority w:val="20"/>
    <w:qFormat/>
    <w:rsid w:val="00405C9F"/>
    <w:rPr>
      <w:i/>
      <w:iCs/>
    </w:rPr>
  </w:style>
  <w:style w:type="paragraph" w:customStyle="1" w:styleId="12">
    <w:name w:val="Абзац списка1"/>
    <w:basedOn w:val="a"/>
    <w:qFormat/>
    <w:rsid w:val="008175C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rvts9">
    <w:name w:val="rvts9"/>
    <w:rsid w:val="008175C6"/>
  </w:style>
  <w:style w:type="paragraph" w:styleId="3">
    <w:name w:val="Body Text 3"/>
    <w:basedOn w:val="a"/>
    <w:link w:val="30"/>
    <w:unhideWhenUsed/>
    <w:rsid w:val="006C04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6C0462"/>
    <w:rPr>
      <w:rFonts w:eastAsiaTheme="minorHAnsi"/>
      <w:sz w:val="16"/>
      <w:szCs w:val="16"/>
      <w:lang w:val="uk-UA" w:eastAsia="en-US"/>
    </w:rPr>
  </w:style>
  <w:style w:type="paragraph" w:customStyle="1" w:styleId="21">
    <w:name w:val="Абзац списка2"/>
    <w:basedOn w:val="a"/>
    <w:rsid w:val="00133262"/>
    <w:pPr>
      <w:spacing w:after="200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afb">
    <w:name w:val="Таблиця"/>
    <w:basedOn w:val="a"/>
    <w:link w:val="afc"/>
    <w:qFormat/>
    <w:rsid w:val="002B5F16"/>
    <w:pPr>
      <w:spacing w:line="240" w:lineRule="auto"/>
      <w:jc w:val="both"/>
    </w:pPr>
    <w:rPr>
      <w:rFonts w:eastAsia="Calibri"/>
      <w:sz w:val="24"/>
      <w:szCs w:val="24"/>
    </w:rPr>
  </w:style>
  <w:style w:type="character" w:customStyle="1" w:styleId="afc">
    <w:name w:val="Таблиця Знак"/>
    <w:link w:val="afb"/>
    <w:rsid w:val="002B5F16"/>
    <w:rPr>
      <w:rFonts w:eastAsia="Calibri"/>
      <w:sz w:val="24"/>
      <w:szCs w:val="24"/>
      <w:lang w:val="uk-UA" w:eastAsia="en-US"/>
    </w:rPr>
  </w:style>
  <w:style w:type="paragraph" w:customStyle="1" w:styleId="Default">
    <w:name w:val="Default"/>
    <w:rsid w:val="00A703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.kravchuk@kpi.ua" TargetMode="External"/><Relationship Id="rId18" Type="http://schemas.openxmlformats.org/officeDocument/2006/relationships/hyperlink" Target="https://www.echr.coe.int/" TargetMode="External"/><Relationship Id="rId26" Type="http://schemas.openxmlformats.org/officeDocument/2006/relationships/hyperlink" Target="https://zakon.rada.gov.ua/laws/show/974_d9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au.kiev.ua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nsj.gov.ua/files/15296531171517493988%D0%97%D0%B1%D1%96%D1%80%D0%BD%D0%B8%D0%BA%20%D1%80%D1%96%D1%88%D0%B5%D0%BD%D1%8C%20%D0%84%D0%A1%D0%9F%D0%9B_30.01.2018%20%D0%BD%D0%B0%20%D1%81%D0%B0%D0%B9%D1%82.pdf" TargetMode="External"/><Relationship Id="rId25" Type="http://schemas.openxmlformats.org/officeDocument/2006/relationships/hyperlink" Target="https://zakon.rada.gov.ua/laws/show/974_c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open_window(%22https://opac.kpi.ua:443/F/NVE89Y3C241RYFGPUKHIYM2LHX7FEGQ74HMYFXYU3SEQDPN9LP-27261?func=service&amp;doc_number=000629794&amp;line_number=0013&amp;service_type=TAG%22);" TargetMode="External"/><Relationship Id="rId20" Type="http://schemas.openxmlformats.org/officeDocument/2006/relationships/hyperlink" Target="http://rada.gov.u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echr.coe.int/Documents/Convention_UK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hr.coe.int/Pages/home.aspx?p=caselaw/analysis/guides&amp;c=" TargetMode="External"/><Relationship Id="rId23" Type="http://schemas.openxmlformats.org/officeDocument/2006/relationships/hyperlink" Target="https://www.youtube.com/watch?v=VHL_sgXVHiE&amp;feature=youtu.b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echr.coe.int/Pages/home.aspx?p=caselaw/analysis/guides&amp;c=" TargetMode="Externa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995_004" TargetMode="External"/><Relationship Id="rId22" Type="http://schemas.openxmlformats.org/officeDocument/2006/relationships/hyperlink" Target="http://reyestr.court.gov.ua/" TargetMode="Externa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91692-71E1-4A2B-BD72-C5A8B36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7254</Words>
  <Characters>41353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48510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ПКФСП4</cp:lastModifiedBy>
  <cp:revision>33</cp:revision>
  <cp:lastPrinted>2020-09-07T13:50:00Z</cp:lastPrinted>
  <dcterms:created xsi:type="dcterms:W3CDTF">2020-09-09T07:39:00Z</dcterms:created>
  <dcterms:modified xsi:type="dcterms:W3CDTF">2021-10-05T11:25:00Z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